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1A9F" w14:textId="77777777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65151D2E" w14:textId="77777777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76E3595D" w14:textId="77777777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0CFEA066" w14:textId="77777777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2E969E5C" w14:textId="77777777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0FC74D8F" w14:textId="77777777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6917B7B4" w14:textId="634601FE" w:rsidR="00F237A6" w:rsidRDefault="00412B3C" w:rsidP="00CA065D">
      <w:pPr>
        <w:jc w:val="center"/>
        <w:rPr>
          <w:b/>
          <w:bCs/>
          <w:sz w:val="28"/>
          <w:szCs w:val="28"/>
          <w:lang w:val="fi-FI"/>
        </w:rPr>
      </w:pPr>
      <w:r w:rsidRPr="00CA065D">
        <w:rPr>
          <w:b/>
          <w:bCs/>
          <w:sz w:val="28"/>
          <w:szCs w:val="28"/>
          <w:lang w:val="fi-FI"/>
        </w:rPr>
        <w:t>Supplementary Data</w:t>
      </w:r>
    </w:p>
    <w:p w14:paraId="4F1CDD6E" w14:textId="77777777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4EA07AF0" w14:textId="7D9926FF" w:rsid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7779EE5C" w14:textId="77777777" w:rsidR="00CA065D" w:rsidRPr="00CA065D" w:rsidRDefault="00CA065D" w:rsidP="00CA065D">
      <w:pPr>
        <w:jc w:val="center"/>
        <w:rPr>
          <w:b/>
          <w:bCs/>
          <w:sz w:val="28"/>
          <w:szCs w:val="28"/>
          <w:lang w:val="fi-FI"/>
        </w:rPr>
      </w:pPr>
    </w:p>
    <w:p w14:paraId="0696F199" w14:textId="77777777" w:rsidR="00412B3C" w:rsidRPr="00BF1221" w:rsidRDefault="00412B3C" w:rsidP="00412B3C">
      <w:pPr>
        <w:pStyle w:val="Heading1"/>
        <w:ind w:left="142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BF1221">
        <w:rPr>
          <w:rFonts w:cstheme="minorHAnsi"/>
          <w:b/>
          <w:bCs/>
          <w:sz w:val="28"/>
          <w:szCs w:val="28"/>
          <w:lang w:val="en-US"/>
        </w:rPr>
        <w:sym w:font="Symbol" w:char="F062"/>
      </w:r>
      <w:r w:rsidRPr="00BF1221">
        <w:rPr>
          <w:rFonts w:cstheme="minorHAnsi"/>
          <w:b/>
          <w:bCs/>
          <w:sz w:val="28"/>
          <w:szCs w:val="28"/>
          <w:lang w:val="en-US"/>
        </w:rPr>
        <w:t>-catenin plus PROX1 immunostaining stratifies disease progression and patient survival in neoadjuvant-treated pancreatic cancer</w:t>
      </w:r>
    </w:p>
    <w:p w14:paraId="67BF24B1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AEF774A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</w:rPr>
      </w:pPr>
      <w:r w:rsidRPr="00BF1221">
        <w:rPr>
          <w:rFonts w:cstheme="minorHAnsi"/>
          <w:color w:val="000000" w:themeColor="text1"/>
          <w:sz w:val="22"/>
          <w:szCs w:val="22"/>
        </w:rPr>
        <w:t>Annika Eurola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1</w:t>
      </w:r>
      <w:r w:rsidRPr="00BF1221">
        <w:rPr>
          <w:rFonts w:cstheme="minorHAnsi"/>
          <w:color w:val="000000" w:themeColor="text1"/>
          <w:sz w:val="22"/>
          <w:szCs w:val="22"/>
        </w:rPr>
        <w:t>, Ari Ristimäki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2,3</w:t>
      </w:r>
      <w:r w:rsidRPr="00BF1221">
        <w:rPr>
          <w:rFonts w:cstheme="minorHAnsi"/>
          <w:color w:val="000000" w:themeColor="text1"/>
          <w:sz w:val="22"/>
          <w:szCs w:val="22"/>
        </w:rPr>
        <w:t>, Harri Mustonen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1</w:t>
      </w:r>
      <w:r w:rsidRPr="00BF1221">
        <w:rPr>
          <w:rFonts w:cstheme="minorHAnsi"/>
          <w:color w:val="000000" w:themeColor="text1"/>
          <w:sz w:val="22"/>
          <w:szCs w:val="22"/>
        </w:rPr>
        <w:t>, Anna-Maria Nurmi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1</w:t>
      </w:r>
      <w:r w:rsidRPr="00BF1221">
        <w:rPr>
          <w:rFonts w:cstheme="minorHAnsi"/>
          <w:color w:val="000000" w:themeColor="text1"/>
          <w:sz w:val="22"/>
          <w:szCs w:val="22"/>
        </w:rPr>
        <w:t>, Jaana Hagström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2,4,5</w:t>
      </w:r>
      <w:r w:rsidRPr="00BF1221">
        <w:rPr>
          <w:rFonts w:cstheme="minorHAnsi"/>
          <w:color w:val="000000" w:themeColor="text1"/>
          <w:sz w:val="22"/>
          <w:szCs w:val="22"/>
        </w:rPr>
        <w:t>, Pauliina Kallio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5</w:t>
      </w:r>
      <w:r w:rsidRPr="00BF1221">
        <w:rPr>
          <w:rFonts w:cstheme="minorHAnsi"/>
          <w:color w:val="000000" w:themeColor="text1"/>
          <w:sz w:val="22"/>
          <w:szCs w:val="22"/>
        </w:rPr>
        <w:t>, Kari Alitalo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5</w:t>
      </w:r>
      <w:r w:rsidRPr="00BF1221">
        <w:rPr>
          <w:rFonts w:cstheme="minorHAnsi"/>
          <w:color w:val="000000" w:themeColor="text1"/>
          <w:sz w:val="22"/>
          <w:szCs w:val="22"/>
        </w:rPr>
        <w:t>, Caj Haglund*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1,5</w:t>
      </w:r>
      <w:r w:rsidRPr="00BF1221">
        <w:rPr>
          <w:rFonts w:cstheme="minorHAnsi"/>
          <w:color w:val="000000" w:themeColor="text1"/>
          <w:sz w:val="22"/>
          <w:szCs w:val="22"/>
        </w:rPr>
        <w:t xml:space="preserve"> and Hanna Seppänen*</w:t>
      </w:r>
      <w:r w:rsidRPr="00BF1221">
        <w:rPr>
          <w:rFonts w:cstheme="minorHAnsi"/>
          <w:color w:val="000000" w:themeColor="text1"/>
          <w:sz w:val="22"/>
          <w:szCs w:val="22"/>
          <w:vertAlign w:val="superscript"/>
        </w:rPr>
        <w:t>1,5</w:t>
      </w:r>
    </w:p>
    <w:p w14:paraId="3FC01552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vertAlign w:val="superscript"/>
        </w:rPr>
      </w:pPr>
    </w:p>
    <w:p w14:paraId="46FEB08C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vertAlign w:val="superscript"/>
        </w:rPr>
      </w:pPr>
    </w:p>
    <w:p w14:paraId="33C7C8D2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  <w:r w:rsidRPr="00BF1221">
        <w:rPr>
          <w:rFonts w:cstheme="minorHAnsi"/>
          <w:color w:val="000000" w:themeColor="text1"/>
          <w:sz w:val="22"/>
          <w:szCs w:val="22"/>
          <w:vertAlign w:val="superscript"/>
          <w:lang w:val="en-US"/>
        </w:rPr>
        <w:t>1</w:t>
      </w:r>
      <w:r w:rsidRPr="00BF1221">
        <w:rPr>
          <w:rFonts w:cstheme="minorHAnsi"/>
          <w:color w:val="000000" w:themeColor="text1"/>
          <w:sz w:val="22"/>
          <w:szCs w:val="22"/>
          <w:lang w:val="en-US"/>
        </w:rPr>
        <w:t>Department of Surgery, Faculty of Medicine, University of Helsinki and Helsinki University Hospital, Helsinki, Finland</w:t>
      </w:r>
    </w:p>
    <w:p w14:paraId="126FF197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  <w:r w:rsidRPr="00BF1221">
        <w:rPr>
          <w:rFonts w:cstheme="minorHAnsi"/>
          <w:color w:val="000000" w:themeColor="text1"/>
          <w:sz w:val="22"/>
          <w:szCs w:val="22"/>
          <w:vertAlign w:val="superscript"/>
          <w:lang w:val="en-US"/>
        </w:rPr>
        <w:t>2</w:t>
      </w:r>
      <w:r w:rsidRPr="00BF1221">
        <w:rPr>
          <w:rFonts w:cstheme="minorHAnsi"/>
          <w:color w:val="000000" w:themeColor="text1"/>
          <w:sz w:val="22"/>
          <w:szCs w:val="22"/>
          <w:lang w:val="en-US"/>
        </w:rPr>
        <w:t>Department of Pathology, HUSLAB, HUS Diagnostic Center, University of Helsinki and Helsinki University Hospital, Helsinki, Finland</w:t>
      </w:r>
    </w:p>
    <w:p w14:paraId="6B93E467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  <w:r w:rsidRPr="00BF1221">
        <w:rPr>
          <w:rFonts w:cstheme="minorHAnsi"/>
          <w:color w:val="000000" w:themeColor="text1"/>
          <w:sz w:val="22"/>
          <w:szCs w:val="22"/>
          <w:vertAlign w:val="superscript"/>
          <w:lang w:val="en-US"/>
        </w:rPr>
        <w:t>3</w:t>
      </w:r>
      <w:r w:rsidRPr="00BF1221">
        <w:rPr>
          <w:rFonts w:cstheme="minorHAnsi"/>
          <w:color w:val="000000" w:themeColor="text1"/>
          <w:sz w:val="22"/>
          <w:szCs w:val="22"/>
          <w:lang w:val="en-US"/>
        </w:rPr>
        <w:t>Applied Tumor Genomics (ATG), Research Programs Unit, Faculty of Medicine, University of Helsinki, Helsinki, Finland</w:t>
      </w:r>
    </w:p>
    <w:p w14:paraId="46376412" w14:textId="19DE844B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  <w:r w:rsidRPr="00BF1221">
        <w:rPr>
          <w:rFonts w:cstheme="minorHAnsi"/>
          <w:color w:val="000000" w:themeColor="text1"/>
          <w:sz w:val="22"/>
          <w:szCs w:val="22"/>
          <w:vertAlign w:val="superscript"/>
          <w:lang w:val="en-US"/>
        </w:rPr>
        <w:t>4</w:t>
      </w:r>
      <w:r w:rsidRPr="00BF1221">
        <w:rPr>
          <w:rFonts w:cstheme="minorHAnsi"/>
          <w:color w:val="000000" w:themeColor="text1"/>
          <w:sz w:val="22"/>
          <w:szCs w:val="22"/>
          <w:lang w:val="en-US"/>
        </w:rPr>
        <w:t>Department of Oral Pathology and Radiology, University of Turku, Turku, Finland</w:t>
      </w:r>
    </w:p>
    <w:p w14:paraId="77642B41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  <w:r w:rsidRPr="00BF1221">
        <w:rPr>
          <w:rFonts w:cstheme="minorHAnsi"/>
          <w:color w:val="000000" w:themeColor="text1"/>
          <w:sz w:val="22"/>
          <w:szCs w:val="22"/>
          <w:vertAlign w:val="superscript"/>
          <w:lang w:val="en-US"/>
        </w:rPr>
        <w:t>5</w:t>
      </w:r>
      <w:r w:rsidRPr="00BF1221">
        <w:rPr>
          <w:rFonts w:cstheme="minorHAnsi"/>
          <w:color w:val="000000" w:themeColor="text1"/>
          <w:sz w:val="22"/>
          <w:szCs w:val="22"/>
          <w:lang w:val="en-US"/>
        </w:rPr>
        <w:t>Translational Cancer Medicine Research Program, Faculty of Medicine, University of Helsinki</w:t>
      </w:r>
    </w:p>
    <w:p w14:paraId="58DC6368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  <w:r w:rsidRPr="00BF1221">
        <w:rPr>
          <w:rFonts w:cstheme="minorHAnsi"/>
          <w:color w:val="000000" w:themeColor="text1"/>
          <w:sz w:val="22"/>
          <w:szCs w:val="22"/>
          <w:lang w:val="en-US"/>
        </w:rPr>
        <w:t>*Shared equal last authorship</w:t>
      </w:r>
    </w:p>
    <w:p w14:paraId="6233AB64" w14:textId="7342F8E9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6B53FDD3" w14:textId="103D792C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15E47A8" w14:textId="38EFB420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5EDDFD06" w14:textId="0540C160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0472C76" w14:textId="65816143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F7D4299" w14:textId="7370B9B3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46910B3A" w14:textId="45688C02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56CFFDB2" w14:textId="04446EC2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5059BAD4" w14:textId="1D613341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34F80F18" w14:textId="2B67D453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37261E9" w14:textId="54B66229" w:rsidR="00412B3C" w:rsidRDefault="00CA065D" w:rsidP="00CA065D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>
        <w:rPr>
          <w:rFonts w:cstheme="minorHAnsi"/>
          <w:color w:val="000000" w:themeColor="text1"/>
          <w:sz w:val="22"/>
          <w:szCs w:val="22"/>
          <w:lang w:val="en-US"/>
        </w:rPr>
        <w:t xml:space="preserve">Supplementary Table. Different neoadjuvant therapy regimens used. </w:t>
      </w:r>
    </w:p>
    <w:tbl>
      <w:tblPr>
        <w:tblpPr w:leftFromText="180" w:rightFromText="180" w:vertAnchor="text" w:horzAnchor="margin" w:tblpY="-34"/>
        <w:tblW w:w="9673" w:type="dxa"/>
        <w:tblLook w:val="04A0" w:firstRow="1" w:lastRow="0" w:firstColumn="1" w:lastColumn="0" w:noHBand="0" w:noVBand="1"/>
      </w:tblPr>
      <w:tblGrid>
        <w:gridCol w:w="9673"/>
      </w:tblGrid>
      <w:tr w:rsidR="00CA065D" w:rsidRPr="00412B3C" w14:paraId="335B854B" w14:textId="77777777" w:rsidTr="00CA065D">
        <w:trPr>
          <w:trHeight w:val="4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533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gemcitabine-cisplatin 3-6 cycles</w:t>
            </w:r>
          </w:p>
        </w:tc>
      </w:tr>
      <w:tr w:rsidR="00CA065D" w:rsidRPr="00412B3C" w14:paraId="22D721BB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7D3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FOLFIRINOX 3-9 cycles</w:t>
            </w:r>
          </w:p>
        </w:tc>
      </w:tr>
      <w:tr w:rsidR="00CA065D" w:rsidRPr="00412B3C" w14:paraId="535B7807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1E0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gemcitabine + chemoradiotherapy 50.4 Gy</w:t>
            </w:r>
          </w:p>
        </w:tc>
      </w:tr>
      <w:tr w:rsidR="00CA065D" w:rsidRPr="00412B3C" w14:paraId="04E2C2AE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395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gemcitabine-cisplatin 3-7 cycles + chemoradiotherapy  (capecitabine or gemcitabine) 50.4 Gy - 60 Gy</w:t>
            </w:r>
          </w:p>
        </w:tc>
      </w:tr>
      <w:tr w:rsidR="00CA065D" w:rsidRPr="00412B3C" w14:paraId="3489CCC5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0F5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singe-gemcitabine 3-8 cycles</w:t>
            </w:r>
          </w:p>
        </w:tc>
      </w:tr>
      <w:tr w:rsidR="00CA065D" w:rsidRPr="00412B3C" w14:paraId="70CD3474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6A06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gemcitabine-nab-paclitaxel 5 cycles</w:t>
            </w:r>
          </w:p>
        </w:tc>
      </w:tr>
      <w:tr w:rsidR="00CA065D" w:rsidRPr="00412B3C" w14:paraId="53AD35AA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42E6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gemcitabine-capecitabine 4-5 cycles</w:t>
            </w:r>
          </w:p>
        </w:tc>
      </w:tr>
      <w:tr w:rsidR="00CA065D" w:rsidRPr="00412B3C" w14:paraId="47255BE2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8DE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Radiotherapy 50.4 Gy</w:t>
            </w:r>
          </w:p>
        </w:tc>
      </w:tr>
      <w:tr w:rsidR="00CA065D" w:rsidRPr="00412B3C" w14:paraId="3F108626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1C4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singe-gemcitabine + radiotherapy 50.4 Gy + gemcitabine-nab-paclitaxel</w:t>
            </w:r>
          </w:p>
        </w:tc>
      </w:tr>
      <w:tr w:rsidR="00CA065D" w:rsidRPr="00412B3C" w14:paraId="5EFBA82F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2B6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FOLFIRINOX + gemcitabine-cisplatin + chemoradiotherapy 50.4 Gy</w:t>
            </w:r>
          </w:p>
        </w:tc>
      </w:tr>
      <w:tr w:rsidR="00CA065D" w:rsidRPr="00412B3C" w14:paraId="20D165C7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0DE1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cisplatin-gemcitabine-capecitabine</w:t>
            </w:r>
          </w:p>
        </w:tc>
      </w:tr>
      <w:tr w:rsidR="00CA065D" w:rsidRPr="00412B3C" w14:paraId="04814522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52A5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FOLFIRINOX 3 cycles + gemcitabine-nab-paclitaxel 3 cycles</w:t>
            </w:r>
          </w:p>
        </w:tc>
      </w:tr>
      <w:tr w:rsidR="00CA065D" w:rsidRPr="00412B3C" w14:paraId="095DC0E1" w14:textId="77777777" w:rsidTr="00CA065D">
        <w:trPr>
          <w:trHeight w:val="417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DDE0" w14:textId="77777777" w:rsidR="00CA065D" w:rsidRPr="00412B3C" w:rsidRDefault="00CA065D" w:rsidP="00CA06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2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FOLFIRINOX 5 cycles  + radiotherapy 50.4 Gy</w:t>
            </w:r>
          </w:p>
        </w:tc>
      </w:tr>
    </w:tbl>
    <w:p w14:paraId="37B7C6D3" w14:textId="20535602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38175DE6" w14:textId="737A0BDB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C25BF74" w14:textId="3F2E9863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7998E03C" w14:textId="78DF4891" w:rsidR="00412B3C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8EFDCBC" w14:textId="77777777" w:rsidR="00412B3C" w:rsidRPr="00BF1221" w:rsidRDefault="00412B3C" w:rsidP="00412B3C">
      <w:pPr>
        <w:spacing w:line="360" w:lineRule="auto"/>
        <w:ind w:left="142"/>
        <w:jc w:val="center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41339B1D" w14:textId="77777777" w:rsidR="00412B3C" w:rsidRPr="00412B3C" w:rsidRDefault="00412B3C">
      <w:pPr>
        <w:rPr>
          <w:lang w:val="fi-FI"/>
        </w:rPr>
      </w:pPr>
    </w:p>
    <w:sectPr w:rsidR="00412B3C" w:rsidRPr="00412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3C"/>
    <w:rsid w:val="000665BB"/>
    <w:rsid w:val="00077A8F"/>
    <w:rsid w:val="000A5084"/>
    <w:rsid w:val="0024689D"/>
    <w:rsid w:val="00272BAB"/>
    <w:rsid w:val="002D1D62"/>
    <w:rsid w:val="00412B3C"/>
    <w:rsid w:val="004A3D3D"/>
    <w:rsid w:val="005E4B76"/>
    <w:rsid w:val="006D3B43"/>
    <w:rsid w:val="00735E58"/>
    <w:rsid w:val="00736F1E"/>
    <w:rsid w:val="007A4E66"/>
    <w:rsid w:val="007F22D7"/>
    <w:rsid w:val="0083386E"/>
    <w:rsid w:val="008D5066"/>
    <w:rsid w:val="009A6A93"/>
    <w:rsid w:val="00AE16C1"/>
    <w:rsid w:val="00C565D3"/>
    <w:rsid w:val="00CA065D"/>
    <w:rsid w:val="00CB3B3E"/>
    <w:rsid w:val="00D065A6"/>
    <w:rsid w:val="00D2459D"/>
    <w:rsid w:val="00D3157D"/>
    <w:rsid w:val="00D34723"/>
    <w:rsid w:val="00DA510C"/>
    <w:rsid w:val="00DC6196"/>
    <w:rsid w:val="00DF6D85"/>
    <w:rsid w:val="00E55D82"/>
    <w:rsid w:val="00E96B4E"/>
    <w:rsid w:val="00F132AE"/>
    <w:rsid w:val="00F237A6"/>
    <w:rsid w:val="00F3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64EA69"/>
  <w15:chartTrackingRefBased/>
  <w15:docId w15:val="{345D439F-ADDF-3443-B96E-72BE520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B3C"/>
    <w:pPr>
      <w:keepNext/>
      <w:keepLines/>
      <w:spacing w:before="240" w:line="480" w:lineRule="auto"/>
      <w:jc w:val="both"/>
      <w:outlineLvl w:val="0"/>
    </w:pPr>
    <w:rPr>
      <w:rFonts w:eastAsiaTheme="majorEastAsia" w:cstheme="majorBidi"/>
      <w:color w:val="000000" w:themeColor="text1"/>
      <w:sz w:val="32"/>
      <w:szCs w:val="3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3"/>
    <w:qFormat/>
    <w:rsid w:val="00D34723"/>
    <w:pPr>
      <w:tabs>
        <w:tab w:val="left" w:pos="1134"/>
        <w:tab w:val="right" w:leader="dot" w:pos="8494"/>
      </w:tabs>
      <w:spacing w:after="240"/>
      <w:ind w:left="567" w:right="480"/>
    </w:pPr>
    <w:rPr>
      <w:rFonts w:ascii="Georgia" w:eastAsia="Times New Roman" w:hAnsi="Georgia" w:cs="Times New Roman"/>
      <w:noProof/>
      <w:szCs w:val="28"/>
      <w:lang w:val="en-US" w:eastAsia="fi-FI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34723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412B3C"/>
    <w:rPr>
      <w:rFonts w:eastAsiaTheme="majorEastAsia" w:cstheme="majorBidi"/>
      <w:color w:val="000000" w:themeColor="text1"/>
      <w:sz w:val="32"/>
      <w:szCs w:val="3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1351</Characters>
  <Application>Microsoft Office Word</Application>
  <DocSecurity>0</DocSecurity>
  <Lines>18</Lines>
  <Paragraphs>2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Eurola, Annika K</dc:creator>
  <cp:keywords/>
  <dc:description/>
  <cp:lastModifiedBy>Eurola, Annika K</cp:lastModifiedBy>
  <cp:revision>2</cp:revision>
  <dcterms:created xsi:type="dcterms:W3CDTF">2022-03-01T13:55:00Z</dcterms:created>
  <dcterms:modified xsi:type="dcterms:W3CDTF">2022-03-01T13:58:00Z</dcterms:modified>
</cp:coreProperties>
</file>