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D1F42" w14:textId="223C4EBE" w:rsidR="0070504F" w:rsidRPr="0070504F" w:rsidRDefault="006473C9" w:rsidP="007050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Supplementary </w:t>
      </w:r>
      <w:r w:rsidR="0070504F" w:rsidRPr="0070504F">
        <w:rPr>
          <w:rFonts w:ascii="Times New Roman" w:eastAsia="Times New Roman" w:hAnsi="Times New Roman" w:cs="Times New Roman"/>
          <w:color w:val="000000"/>
        </w:rPr>
        <w:t xml:space="preserve">Table </w:t>
      </w:r>
      <w:r>
        <w:rPr>
          <w:rFonts w:ascii="Times New Roman" w:eastAsia="Times New Roman" w:hAnsi="Times New Roman" w:cs="Times New Roman"/>
          <w:color w:val="000000"/>
        </w:rPr>
        <w:t>2</w:t>
      </w:r>
      <w:r w:rsidR="0070504F" w:rsidRPr="0070504F">
        <w:rPr>
          <w:rFonts w:ascii="Times New Roman" w:eastAsia="Times New Roman" w:hAnsi="Times New Roman" w:cs="Times New Roman"/>
          <w:color w:val="000000"/>
        </w:rPr>
        <w:t>. Legislation for post-market surveillance </w:t>
      </w:r>
    </w:p>
    <w:tbl>
      <w:tblPr>
        <w:tblW w:w="0" w:type="auto"/>
        <w:tblCellMar>
          <w:top w:w="15" w:type="dxa"/>
          <w:left w:w="15" w:type="dxa"/>
          <w:bottom w:w="15" w:type="dxa"/>
          <w:right w:w="15" w:type="dxa"/>
        </w:tblCellMar>
        <w:tblLook w:val="04A0" w:firstRow="1" w:lastRow="0" w:firstColumn="1" w:lastColumn="0" w:noHBand="0" w:noVBand="1"/>
      </w:tblPr>
      <w:tblGrid>
        <w:gridCol w:w="524"/>
        <w:gridCol w:w="3178"/>
        <w:gridCol w:w="5638"/>
      </w:tblGrid>
      <w:tr w:rsidR="0070504F" w:rsidRPr="0070504F" w14:paraId="654F2003" w14:textId="77777777" w:rsidTr="0070504F">
        <w:trPr>
          <w:trHeight w:val="7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4F221" w14:textId="77777777"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b/>
                <w:bCs/>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9BCF1" w14:textId="77777777"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b/>
                <w:bCs/>
                <w:color w:val="000000"/>
              </w:rPr>
              <w:t>Country/Region, document and release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26B66" w14:textId="77777777"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b/>
                <w:bCs/>
                <w:color w:val="000000"/>
              </w:rPr>
              <w:t>Post-market surveillance activities</w:t>
            </w:r>
          </w:p>
        </w:tc>
      </w:tr>
      <w:tr w:rsidR="0070504F" w:rsidRPr="0070504F" w14:paraId="07DC0886" w14:textId="77777777" w:rsidTr="0070504F">
        <w:trPr>
          <w:trHeight w:val="4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C0BF3" w14:textId="77777777"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34298" w14:textId="77777777"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European Union</w:t>
            </w:r>
          </w:p>
          <w:p w14:paraId="720E8879" w14:textId="6610A9E8" w:rsidR="0070504F" w:rsidRPr="006473C9" w:rsidRDefault="0070504F" w:rsidP="0070504F">
            <w:pPr>
              <w:spacing w:before="240" w:after="0" w:line="240" w:lineRule="auto"/>
              <w:jc w:val="center"/>
              <w:rPr>
                <w:rFonts w:ascii="Times New Roman" w:eastAsia="Times New Roman" w:hAnsi="Times New Roman" w:cs="Times New Roman"/>
                <w:sz w:val="24"/>
                <w:szCs w:val="24"/>
              </w:rPr>
            </w:pPr>
            <w:r w:rsidRPr="006473C9">
              <w:rPr>
                <w:rFonts w:ascii="Times New Roman" w:eastAsia="Times New Roman" w:hAnsi="Times New Roman" w:cs="Times New Roman"/>
                <w:color w:val="000000"/>
              </w:rPr>
              <w:t>Medical Devices Regulation (MDR) (Regulation (EU) 2017/745) / Release date: May 2017 [3</w:t>
            </w:r>
            <w:r w:rsidR="006473C9">
              <w:rPr>
                <w:rFonts w:ascii="Times New Roman" w:eastAsia="Times New Roman" w:hAnsi="Times New Roman" w:cs="Times New Roman"/>
                <w:color w:val="000000"/>
              </w:rPr>
              <w:t>8</w:t>
            </w:r>
            <w:r w:rsidRPr="006473C9">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68032" w14:textId="77777777" w:rsidR="0070504F" w:rsidRPr="0070504F" w:rsidRDefault="0070504F" w:rsidP="0070504F">
            <w:pPr>
              <w:numPr>
                <w:ilvl w:val="0"/>
                <w:numId w:val="1"/>
              </w:numPr>
              <w:shd w:val="clear" w:color="auto" w:fill="FFFFFF"/>
              <w:spacing w:after="24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Medical device registry </w:t>
            </w:r>
          </w:p>
          <w:p w14:paraId="52C0C9EA" w14:textId="5B91C32A"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 xml:space="preserve">According to </w:t>
            </w:r>
            <w:r w:rsidRPr="0070504F">
              <w:rPr>
                <w:rFonts w:ascii="Times New Roman" w:eastAsia="Times New Roman" w:hAnsi="Times New Roman" w:cs="Times New Roman"/>
                <w:i/>
                <w:iCs/>
                <w:color w:val="000000"/>
              </w:rPr>
              <w:t xml:space="preserve">Articles 28 and 29 </w:t>
            </w:r>
            <w:r w:rsidRPr="0070504F">
              <w:rPr>
                <w:rFonts w:ascii="Times New Roman" w:eastAsia="Times New Roman" w:hAnsi="Times New Roman" w:cs="Times New Roman"/>
                <w:color w:val="000000"/>
              </w:rPr>
              <w:t>of the MDR, each medical device produced must be registered in the Unique Device Identification (UDI) database. The UDI database ensures maximum availability of information regarding medical devices to all users of the database</w:t>
            </w:r>
            <w:r w:rsidR="006473C9">
              <w:rPr>
                <w:rFonts w:ascii="Times New Roman" w:eastAsia="Times New Roman" w:hAnsi="Times New Roman" w:cs="Times New Roman"/>
                <w:color w:val="000000"/>
              </w:rPr>
              <w:t xml:space="preserve"> [38]</w:t>
            </w:r>
            <w:r w:rsidRPr="0070504F">
              <w:rPr>
                <w:rFonts w:ascii="Times New Roman" w:eastAsia="Times New Roman" w:hAnsi="Times New Roman" w:cs="Times New Roman"/>
                <w:color w:val="000000"/>
              </w:rPr>
              <w:t>. </w:t>
            </w:r>
          </w:p>
          <w:p w14:paraId="490F0859" w14:textId="77777777" w:rsidR="0070504F" w:rsidRPr="0070504F" w:rsidRDefault="0070504F" w:rsidP="0070504F">
            <w:pPr>
              <w:numPr>
                <w:ilvl w:val="0"/>
                <w:numId w:val="2"/>
              </w:numPr>
              <w:shd w:val="clear" w:color="auto" w:fill="FFFFFF"/>
              <w:spacing w:before="240" w:after="24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b/>
                <w:bCs/>
                <w:color w:val="000000"/>
              </w:rPr>
              <w:t>Adverse event reporting </w:t>
            </w:r>
          </w:p>
          <w:p w14:paraId="60C01F36" w14:textId="77777777"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According to the MDR, sponsors should report certain adverse events and device deficiencies that occur during clinical investigations to the Member States in which those clinical investigations are being conducted and submit the reports to EUDAMED database. </w:t>
            </w:r>
          </w:p>
          <w:p w14:paraId="457A5580" w14:textId="77777777" w:rsidR="0070504F" w:rsidRPr="0070504F" w:rsidRDefault="0070504F" w:rsidP="0070504F">
            <w:pPr>
              <w:numPr>
                <w:ilvl w:val="0"/>
                <w:numId w:val="3"/>
              </w:numPr>
              <w:shd w:val="clear" w:color="auto" w:fill="FFFFFF"/>
              <w:spacing w:before="240" w:after="24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Medical device performance evaluation </w:t>
            </w:r>
          </w:p>
          <w:p w14:paraId="012EE526" w14:textId="77777777"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i/>
                <w:iCs/>
                <w:color w:val="000000"/>
              </w:rPr>
              <w:t>Article 106</w:t>
            </w:r>
            <w:r w:rsidRPr="0070504F">
              <w:rPr>
                <w:rFonts w:ascii="Times New Roman" w:eastAsia="Times New Roman" w:hAnsi="Times New Roman" w:cs="Times New Roman"/>
                <w:color w:val="000000"/>
              </w:rPr>
              <w:t xml:space="preserve"> of the MDR on </w:t>
            </w:r>
            <w:r w:rsidRPr="0070504F">
              <w:rPr>
                <w:rFonts w:ascii="Times New Roman" w:eastAsia="Times New Roman" w:hAnsi="Times New Roman" w:cs="Times New Roman"/>
                <w:i/>
                <w:iCs/>
                <w:color w:val="000000"/>
              </w:rPr>
              <w:t>Provision of scientific, technical and clinical opinions and advice</w:t>
            </w:r>
            <w:r w:rsidRPr="0070504F">
              <w:rPr>
                <w:rFonts w:ascii="Times New Roman" w:eastAsia="Times New Roman" w:hAnsi="Times New Roman" w:cs="Times New Roman"/>
                <w:color w:val="000000"/>
              </w:rPr>
              <w:t xml:space="preserve"> deems necessary to develop performance evaluation guidance for performance of conformity assessment in line with the state of the art with regard to clinical evaluation, performance evaluation, </w:t>
            </w:r>
            <w:proofErr w:type="spellStart"/>
            <w:r w:rsidRPr="0070504F">
              <w:rPr>
                <w:rFonts w:ascii="Times New Roman" w:eastAsia="Times New Roman" w:hAnsi="Times New Roman" w:cs="Times New Roman"/>
                <w:color w:val="000000"/>
              </w:rPr>
              <w:t>physico</w:t>
            </w:r>
            <w:proofErr w:type="spellEnd"/>
            <w:r w:rsidRPr="0070504F">
              <w:rPr>
                <w:rFonts w:ascii="Times New Roman" w:eastAsia="Times New Roman" w:hAnsi="Times New Roman" w:cs="Times New Roman"/>
                <w:color w:val="000000"/>
              </w:rPr>
              <w:t xml:space="preserve">-chemical </w:t>
            </w:r>
            <w:proofErr w:type="spellStart"/>
            <w:r w:rsidRPr="0070504F">
              <w:rPr>
                <w:rFonts w:ascii="Times New Roman" w:eastAsia="Times New Roman" w:hAnsi="Times New Roman" w:cs="Times New Roman"/>
                <w:color w:val="000000"/>
              </w:rPr>
              <w:t>characterisation</w:t>
            </w:r>
            <w:proofErr w:type="spellEnd"/>
            <w:r w:rsidRPr="0070504F">
              <w:rPr>
                <w:rFonts w:ascii="Times New Roman" w:eastAsia="Times New Roman" w:hAnsi="Times New Roman" w:cs="Times New Roman"/>
                <w:color w:val="000000"/>
              </w:rPr>
              <w:t>, and microbiological, biocompatibility, mechanical, electrical, electronic or nonclinical toxicological testing. </w:t>
            </w:r>
          </w:p>
          <w:p w14:paraId="7F198784" w14:textId="77777777" w:rsidR="0070504F" w:rsidRPr="0070504F" w:rsidRDefault="0070504F" w:rsidP="0070504F">
            <w:pPr>
              <w:numPr>
                <w:ilvl w:val="0"/>
                <w:numId w:val="4"/>
              </w:numPr>
              <w:shd w:val="clear" w:color="auto" w:fill="FFFFFF"/>
              <w:spacing w:before="240" w:after="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Medical device classification</w:t>
            </w:r>
          </w:p>
          <w:p w14:paraId="1170D34F" w14:textId="77777777" w:rsidR="0070504F" w:rsidRPr="0070504F" w:rsidRDefault="0070504F" w:rsidP="0070504F">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Class I - lowest risk</w:t>
            </w:r>
          </w:p>
          <w:p w14:paraId="3067428F" w14:textId="77777777" w:rsidR="0070504F" w:rsidRPr="0070504F" w:rsidRDefault="0070504F" w:rsidP="0070504F">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 xml:space="preserve">Class </w:t>
            </w:r>
            <w:proofErr w:type="spellStart"/>
            <w:r w:rsidRPr="0070504F">
              <w:rPr>
                <w:rFonts w:ascii="Times New Roman" w:eastAsia="Times New Roman" w:hAnsi="Times New Roman" w:cs="Times New Roman"/>
                <w:color w:val="000000"/>
              </w:rPr>
              <w:t>IIa</w:t>
            </w:r>
            <w:proofErr w:type="spellEnd"/>
            <w:r w:rsidRPr="0070504F">
              <w:rPr>
                <w:rFonts w:ascii="Times New Roman" w:eastAsia="Times New Roman" w:hAnsi="Times New Roman" w:cs="Times New Roman"/>
                <w:color w:val="000000"/>
              </w:rPr>
              <w:t xml:space="preserve"> - low risk </w:t>
            </w:r>
          </w:p>
          <w:p w14:paraId="04713F05" w14:textId="77777777" w:rsidR="0070504F" w:rsidRPr="0070504F" w:rsidRDefault="0070504F" w:rsidP="0070504F">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 xml:space="preserve">Class IIb - medium to </w:t>
            </w:r>
            <w:proofErr w:type="gramStart"/>
            <w:r w:rsidRPr="0070504F">
              <w:rPr>
                <w:rFonts w:ascii="Times New Roman" w:eastAsia="Times New Roman" w:hAnsi="Times New Roman" w:cs="Times New Roman"/>
                <w:color w:val="000000"/>
              </w:rPr>
              <w:t>high risk</w:t>
            </w:r>
            <w:proofErr w:type="gramEnd"/>
            <w:r w:rsidRPr="0070504F">
              <w:rPr>
                <w:rFonts w:ascii="Times New Roman" w:eastAsia="Times New Roman" w:hAnsi="Times New Roman" w:cs="Times New Roman"/>
                <w:color w:val="000000"/>
              </w:rPr>
              <w:t xml:space="preserve"> medical devices intended for long term use</w:t>
            </w:r>
          </w:p>
          <w:p w14:paraId="078B58D8" w14:textId="77777777" w:rsidR="0070504F" w:rsidRPr="0070504F" w:rsidRDefault="0070504F" w:rsidP="0070504F">
            <w:pPr>
              <w:numPr>
                <w:ilvl w:val="0"/>
                <w:numId w:val="5"/>
              </w:numPr>
              <w:shd w:val="clear" w:color="auto" w:fill="FFFFFF"/>
              <w:spacing w:after="24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Class III - highest risk</w:t>
            </w:r>
          </w:p>
        </w:tc>
      </w:tr>
      <w:tr w:rsidR="0070504F" w:rsidRPr="0070504F" w14:paraId="39B4450E" w14:textId="77777777" w:rsidTr="0070504F">
        <w:trPr>
          <w:trHeight w:val="1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FBD0C" w14:textId="77777777"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429F5" w14:textId="77777777"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United States of America</w:t>
            </w:r>
          </w:p>
          <w:p w14:paraId="310A897A" w14:textId="49903552"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Federal Food, Drug, and Cosmetic Act, Section 522 [</w:t>
            </w:r>
            <w:r w:rsidR="006473C9">
              <w:rPr>
                <w:rFonts w:ascii="Times New Roman" w:eastAsia="Times New Roman" w:hAnsi="Times New Roman" w:cs="Times New Roman"/>
                <w:color w:val="000000"/>
              </w:rPr>
              <w:t>40</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8CF54" w14:textId="77777777" w:rsidR="0070504F" w:rsidRPr="0070504F" w:rsidRDefault="0070504F" w:rsidP="0070504F">
            <w:pPr>
              <w:numPr>
                <w:ilvl w:val="0"/>
                <w:numId w:val="6"/>
              </w:numPr>
              <w:shd w:val="clear" w:color="auto" w:fill="FFFFFF"/>
              <w:spacing w:after="24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Medical device registry </w:t>
            </w:r>
          </w:p>
          <w:p w14:paraId="1046CAB2" w14:textId="36CD2B7C"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 xml:space="preserve">Medical device registries are not defined by this act, but by </w:t>
            </w:r>
            <w:r w:rsidRPr="0070504F">
              <w:rPr>
                <w:rFonts w:ascii="Times New Roman" w:eastAsia="Times New Roman" w:hAnsi="Times New Roman" w:cs="Times New Roman"/>
                <w:i/>
                <w:iCs/>
                <w:color w:val="000000"/>
              </w:rPr>
              <w:t xml:space="preserve">Title 21 of the Code of Federal Regulation </w:t>
            </w:r>
            <w:r w:rsidRPr="0070504F">
              <w:rPr>
                <w:rFonts w:ascii="Times New Roman" w:eastAsia="Times New Roman" w:hAnsi="Times New Roman" w:cs="Times New Roman"/>
                <w:color w:val="000000"/>
              </w:rPr>
              <w:t>[</w:t>
            </w:r>
            <w:r w:rsidR="006473C9">
              <w:rPr>
                <w:rFonts w:ascii="Times New Roman" w:eastAsia="Times New Roman" w:hAnsi="Times New Roman" w:cs="Times New Roman"/>
                <w:color w:val="000000"/>
              </w:rPr>
              <w:t>39</w:t>
            </w:r>
            <w:r w:rsidRPr="0070504F">
              <w:rPr>
                <w:rFonts w:ascii="Times New Roman" w:eastAsia="Times New Roman" w:hAnsi="Times New Roman" w:cs="Times New Roman"/>
                <w:color w:val="000000"/>
              </w:rPr>
              <w:t>] that requires each medical device to have its own UDI. </w:t>
            </w:r>
          </w:p>
          <w:p w14:paraId="06DAC7D7" w14:textId="77777777" w:rsidR="0070504F" w:rsidRPr="0070504F" w:rsidRDefault="0070504F" w:rsidP="0070504F">
            <w:pPr>
              <w:numPr>
                <w:ilvl w:val="0"/>
                <w:numId w:val="7"/>
              </w:numPr>
              <w:shd w:val="clear" w:color="auto" w:fill="FFFFFF"/>
              <w:spacing w:before="240" w:after="24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Adverse event reporting </w:t>
            </w:r>
          </w:p>
          <w:p w14:paraId="123126ED" w14:textId="77777777"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 xml:space="preserve">Adverse event reporting is regulated by </w:t>
            </w:r>
            <w:r w:rsidRPr="0070504F">
              <w:rPr>
                <w:rFonts w:ascii="Times New Roman" w:eastAsia="Times New Roman" w:hAnsi="Times New Roman" w:cs="Times New Roman"/>
                <w:i/>
                <w:iCs/>
                <w:color w:val="000000"/>
              </w:rPr>
              <w:t>Title 21 of the Code of Federal Regulation, section 803</w:t>
            </w:r>
            <w:r w:rsidRPr="0070504F">
              <w:rPr>
                <w:rFonts w:ascii="Times New Roman" w:eastAsia="Times New Roman" w:hAnsi="Times New Roman" w:cs="Times New Roman"/>
                <w:color w:val="000000"/>
              </w:rPr>
              <w:t xml:space="preserve"> that requires manufacturers, </w:t>
            </w:r>
            <w:r w:rsidRPr="0070504F">
              <w:rPr>
                <w:rFonts w:ascii="Times New Roman" w:eastAsia="Times New Roman" w:hAnsi="Times New Roman" w:cs="Times New Roman"/>
                <w:color w:val="000000"/>
              </w:rPr>
              <w:lastRenderedPageBreak/>
              <w:t>importers, and device user facilities to report device-related adverse events</w:t>
            </w:r>
          </w:p>
          <w:p w14:paraId="02AEFED5" w14:textId="77777777" w:rsidR="0070504F" w:rsidRPr="0070504F" w:rsidRDefault="0070504F" w:rsidP="0070504F">
            <w:pPr>
              <w:numPr>
                <w:ilvl w:val="0"/>
                <w:numId w:val="8"/>
              </w:numPr>
              <w:shd w:val="clear" w:color="auto" w:fill="FFFFFF"/>
              <w:spacing w:before="240" w:after="24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Medical device performance evaluation </w:t>
            </w:r>
          </w:p>
          <w:p w14:paraId="0E72F5B8" w14:textId="77777777"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 xml:space="preserve">Performance evaluation procedure for post-market surveillance of medical devices is regulated by </w:t>
            </w:r>
            <w:r w:rsidRPr="0070504F">
              <w:rPr>
                <w:rFonts w:ascii="Times New Roman" w:eastAsia="Times New Roman" w:hAnsi="Times New Roman" w:cs="Times New Roman"/>
                <w:i/>
                <w:iCs/>
                <w:color w:val="000000"/>
              </w:rPr>
              <w:t>Federal Food, Drug, and Cosmetic Act, Section 522</w:t>
            </w:r>
            <w:r w:rsidRPr="0070504F">
              <w:rPr>
                <w:rFonts w:ascii="Times New Roman" w:eastAsia="Times New Roman" w:hAnsi="Times New Roman" w:cs="Times New Roman"/>
                <w:color w:val="000000"/>
              </w:rPr>
              <w:t>. Post-market surveillance is performed by the device manufacturer if the medical device is classified as:</w:t>
            </w:r>
          </w:p>
          <w:p w14:paraId="6B493A22" w14:textId="77777777" w:rsidR="0070504F" w:rsidRPr="0070504F" w:rsidRDefault="0070504F" w:rsidP="0070504F">
            <w:pPr>
              <w:numPr>
                <w:ilvl w:val="0"/>
                <w:numId w:val="9"/>
              </w:numPr>
              <w:shd w:val="clear" w:color="auto" w:fill="FFFFFF"/>
              <w:spacing w:before="240" w:after="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Class II or III device that could cause serious adverse health consequences in case of failure.</w:t>
            </w:r>
          </w:p>
          <w:p w14:paraId="73481439" w14:textId="77777777" w:rsidR="0070504F" w:rsidRPr="0070504F" w:rsidRDefault="0070504F" w:rsidP="0070504F">
            <w:pPr>
              <w:numPr>
                <w:ilvl w:val="0"/>
                <w:numId w:val="9"/>
              </w:numPr>
              <w:shd w:val="clear" w:color="auto" w:fill="FFFFFF"/>
              <w:spacing w:after="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Class II or III device with widespread use in pediatrics.</w:t>
            </w:r>
          </w:p>
          <w:p w14:paraId="2F3CC1E0" w14:textId="77777777" w:rsidR="0070504F" w:rsidRPr="0070504F" w:rsidRDefault="0070504F" w:rsidP="0070504F">
            <w:pPr>
              <w:numPr>
                <w:ilvl w:val="0"/>
                <w:numId w:val="9"/>
              </w:numPr>
              <w:shd w:val="clear" w:color="auto" w:fill="FFFFFF"/>
              <w:spacing w:after="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Class II or III device that is intended to be implanted in humans for longer than one year.</w:t>
            </w:r>
          </w:p>
          <w:p w14:paraId="48E668E5" w14:textId="77777777" w:rsidR="0070504F" w:rsidRPr="0070504F" w:rsidRDefault="0070504F" w:rsidP="0070504F">
            <w:pPr>
              <w:numPr>
                <w:ilvl w:val="0"/>
                <w:numId w:val="9"/>
              </w:numPr>
              <w:shd w:val="clear" w:color="auto" w:fill="FFFFFF"/>
              <w:spacing w:after="24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Class II or III device that is intended for life-sustaining or life-saving use outside of medical facilities.</w:t>
            </w:r>
          </w:p>
          <w:p w14:paraId="4A52EDB6" w14:textId="77777777"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sz w:val="24"/>
                <w:szCs w:val="24"/>
              </w:rPr>
              <w:t> </w:t>
            </w:r>
          </w:p>
          <w:p w14:paraId="6A7634C2" w14:textId="77777777" w:rsidR="0070504F" w:rsidRPr="0070504F" w:rsidRDefault="0070504F" w:rsidP="0070504F">
            <w:pPr>
              <w:numPr>
                <w:ilvl w:val="0"/>
                <w:numId w:val="10"/>
              </w:numPr>
              <w:shd w:val="clear" w:color="auto" w:fill="FFFFFF"/>
              <w:spacing w:before="80" w:after="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Classification of Medical devices in the US:</w:t>
            </w:r>
          </w:p>
          <w:p w14:paraId="53D2E7EB" w14:textId="77777777" w:rsidR="0070504F" w:rsidRPr="0070504F" w:rsidRDefault="0070504F" w:rsidP="0070504F">
            <w:pPr>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 xml:space="preserve">Class I – Low risk (bandages, medical gloves, crutches, </w:t>
            </w:r>
            <w:proofErr w:type="spellStart"/>
            <w:r w:rsidRPr="0070504F">
              <w:rPr>
                <w:rFonts w:ascii="Times New Roman" w:eastAsia="Times New Roman" w:hAnsi="Times New Roman" w:cs="Times New Roman"/>
                <w:color w:val="000000"/>
              </w:rPr>
              <w:t>etc</w:t>
            </w:r>
            <w:proofErr w:type="spellEnd"/>
            <w:r w:rsidRPr="0070504F">
              <w:rPr>
                <w:rFonts w:ascii="Times New Roman" w:eastAsia="Times New Roman" w:hAnsi="Times New Roman" w:cs="Times New Roman"/>
                <w:color w:val="000000"/>
              </w:rPr>
              <w:t>)</w:t>
            </w:r>
          </w:p>
          <w:p w14:paraId="5D17FC5C" w14:textId="77777777" w:rsidR="0070504F" w:rsidRPr="0070504F" w:rsidRDefault="0070504F" w:rsidP="0070504F">
            <w:pPr>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Class II – Medium Risk (blood pressure monitors, surgical needles, surgical drapes, nebulizers, X-ray machines, etc.) </w:t>
            </w:r>
          </w:p>
          <w:p w14:paraId="7C393507" w14:textId="77777777" w:rsidR="0070504F" w:rsidRPr="0070504F" w:rsidRDefault="0070504F" w:rsidP="0070504F">
            <w:pPr>
              <w:numPr>
                <w:ilvl w:val="0"/>
                <w:numId w:val="11"/>
              </w:numPr>
              <w:shd w:val="clear" w:color="auto" w:fill="FFFFFF"/>
              <w:spacing w:after="30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Class III – High Risk (heart pacemakers, intra-aortic balloons, silicone gel-filled breast implants, automated external defibrillators, HIV diagnostic kits, etc.) </w:t>
            </w:r>
          </w:p>
        </w:tc>
      </w:tr>
      <w:tr w:rsidR="0070504F" w:rsidRPr="0070504F" w14:paraId="56481672" w14:textId="77777777" w:rsidTr="0070504F">
        <w:trPr>
          <w:trHeight w:val="1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9F922" w14:textId="77777777"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77F65" w14:textId="77777777"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People's Republic of China</w:t>
            </w:r>
          </w:p>
          <w:p w14:paraId="4B8F0AB3" w14:textId="1950DA99"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Supervision and Administration of Medical Devices as State Council Order Number 739 [</w:t>
            </w:r>
            <w:r w:rsidR="006473C9">
              <w:rPr>
                <w:rFonts w:ascii="Times New Roman" w:eastAsia="Times New Roman" w:hAnsi="Times New Roman" w:cs="Times New Roman"/>
                <w:color w:val="000000"/>
              </w:rPr>
              <w:t>68</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A5A08" w14:textId="77777777" w:rsidR="0070504F" w:rsidRPr="0070504F" w:rsidRDefault="0070504F" w:rsidP="0070504F">
            <w:pPr>
              <w:numPr>
                <w:ilvl w:val="0"/>
                <w:numId w:val="12"/>
              </w:numPr>
              <w:shd w:val="clear" w:color="auto" w:fill="FFFFFF"/>
              <w:spacing w:after="24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Medical device registry </w:t>
            </w:r>
          </w:p>
          <w:p w14:paraId="417CB90D" w14:textId="31F082C8"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i/>
                <w:iCs/>
                <w:color w:val="000000"/>
              </w:rPr>
              <w:t xml:space="preserve">Decree 4 CFDA from 2014 </w:t>
            </w:r>
            <w:r w:rsidRPr="0070504F">
              <w:rPr>
                <w:rFonts w:ascii="Times New Roman" w:eastAsia="Times New Roman" w:hAnsi="Times New Roman" w:cs="Times New Roman"/>
                <w:color w:val="000000"/>
              </w:rPr>
              <w:t>[</w:t>
            </w:r>
            <w:r w:rsidR="006473C9">
              <w:rPr>
                <w:rFonts w:ascii="Times New Roman" w:eastAsia="Times New Roman" w:hAnsi="Times New Roman" w:cs="Times New Roman"/>
                <w:color w:val="000000"/>
              </w:rPr>
              <w:t>41</w:t>
            </w:r>
            <w:r w:rsidRPr="0070504F">
              <w:rPr>
                <w:rFonts w:ascii="Times New Roman" w:eastAsia="Times New Roman" w:hAnsi="Times New Roman" w:cs="Times New Roman"/>
                <w:color w:val="000000"/>
              </w:rPr>
              <w:t xml:space="preserve">] regulates the registration process for medical devices and establishes a medical device registry. Additionally, </w:t>
            </w:r>
            <w:r w:rsidRPr="0070504F">
              <w:rPr>
                <w:rFonts w:ascii="Times New Roman" w:eastAsia="Times New Roman" w:hAnsi="Times New Roman" w:cs="Times New Roman"/>
                <w:i/>
                <w:iCs/>
                <w:color w:val="000000"/>
              </w:rPr>
              <w:t xml:space="preserve">Order 739 </w:t>
            </w:r>
            <w:r w:rsidRPr="0070504F">
              <w:rPr>
                <w:rFonts w:ascii="Times New Roman" w:eastAsia="Times New Roman" w:hAnsi="Times New Roman" w:cs="Times New Roman"/>
                <w:color w:val="000000"/>
              </w:rPr>
              <w:t>[</w:t>
            </w:r>
            <w:r w:rsidR="006473C9">
              <w:rPr>
                <w:rFonts w:ascii="Times New Roman" w:eastAsia="Times New Roman" w:hAnsi="Times New Roman" w:cs="Times New Roman"/>
                <w:color w:val="000000"/>
              </w:rPr>
              <w:t>42</w:t>
            </w:r>
            <w:r w:rsidRPr="0070504F">
              <w:rPr>
                <w:rFonts w:ascii="Times New Roman" w:eastAsia="Times New Roman" w:hAnsi="Times New Roman" w:cs="Times New Roman"/>
                <w:color w:val="000000"/>
              </w:rPr>
              <w:t>], requires assigning a UDI to every medical device manufactured. </w:t>
            </w:r>
          </w:p>
          <w:p w14:paraId="68D400E3" w14:textId="77777777" w:rsidR="0070504F" w:rsidRPr="0070504F" w:rsidRDefault="0070504F" w:rsidP="0070504F">
            <w:pPr>
              <w:numPr>
                <w:ilvl w:val="0"/>
                <w:numId w:val="13"/>
              </w:numPr>
              <w:shd w:val="clear" w:color="auto" w:fill="FFFFFF"/>
              <w:spacing w:before="240" w:after="24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Adverse event reporting </w:t>
            </w:r>
          </w:p>
          <w:p w14:paraId="2832E426" w14:textId="41056413"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 xml:space="preserve">In May of 2020, the NMPA issued an updated version of guidelines for adverse event reporting. These guidelines require medical professionals to report all adverse events that could have potentially </w:t>
            </w:r>
            <w:proofErr w:type="gramStart"/>
            <w:r w:rsidRPr="0070504F">
              <w:rPr>
                <w:rFonts w:ascii="Times New Roman" w:eastAsia="Times New Roman" w:hAnsi="Times New Roman" w:cs="Times New Roman"/>
                <w:color w:val="000000"/>
              </w:rPr>
              <w:t>lead</w:t>
            </w:r>
            <w:proofErr w:type="gramEnd"/>
            <w:r w:rsidRPr="0070504F">
              <w:rPr>
                <w:rFonts w:ascii="Times New Roman" w:eastAsia="Times New Roman" w:hAnsi="Times New Roman" w:cs="Times New Roman"/>
                <w:color w:val="000000"/>
              </w:rPr>
              <w:t xml:space="preserve"> to patient harm within 5 days of their </w:t>
            </w:r>
            <w:proofErr w:type="spellStart"/>
            <w:r w:rsidRPr="0070504F">
              <w:rPr>
                <w:rFonts w:ascii="Times New Roman" w:eastAsia="Times New Roman" w:hAnsi="Times New Roman" w:cs="Times New Roman"/>
                <w:color w:val="000000"/>
              </w:rPr>
              <w:t>occurence</w:t>
            </w:r>
            <w:proofErr w:type="spellEnd"/>
            <w:r w:rsidRPr="0070504F">
              <w:rPr>
                <w:rFonts w:ascii="Times New Roman" w:eastAsia="Times New Roman" w:hAnsi="Times New Roman" w:cs="Times New Roman"/>
                <w:color w:val="000000"/>
              </w:rPr>
              <w:t xml:space="preserve"> [</w:t>
            </w:r>
            <w:r w:rsidR="006473C9">
              <w:rPr>
                <w:rFonts w:ascii="Times New Roman" w:eastAsia="Times New Roman" w:hAnsi="Times New Roman" w:cs="Times New Roman"/>
                <w:color w:val="000000"/>
              </w:rPr>
              <w:t>41</w:t>
            </w:r>
            <w:r w:rsidRPr="0070504F">
              <w:rPr>
                <w:rFonts w:ascii="Times New Roman" w:eastAsia="Times New Roman" w:hAnsi="Times New Roman" w:cs="Times New Roman"/>
                <w:color w:val="000000"/>
              </w:rPr>
              <w:t>]. </w:t>
            </w:r>
          </w:p>
          <w:p w14:paraId="43675DEC" w14:textId="77777777" w:rsidR="0070504F" w:rsidRPr="0070504F" w:rsidRDefault="0070504F" w:rsidP="0070504F">
            <w:pPr>
              <w:numPr>
                <w:ilvl w:val="0"/>
                <w:numId w:val="14"/>
              </w:numPr>
              <w:shd w:val="clear" w:color="auto" w:fill="FFFFFF"/>
              <w:spacing w:before="240" w:after="24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lastRenderedPageBreak/>
              <w:t>Medical device performance evaluation </w:t>
            </w:r>
          </w:p>
          <w:p w14:paraId="6F8AF196" w14:textId="3DF8273F"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 xml:space="preserve">With the aim of making post-market surveillance more efficient, NMPA has expanded the inspection of medical devices to corresponding personnel and third parties when necessary, according to </w:t>
            </w:r>
            <w:r w:rsidRPr="0070504F">
              <w:rPr>
                <w:rFonts w:ascii="Times New Roman" w:eastAsia="Times New Roman" w:hAnsi="Times New Roman" w:cs="Times New Roman"/>
                <w:i/>
                <w:iCs/>
                <w:color w:val="000000"/>
              </w:rPr>
              <w:t xml:space="preserve">Article 68 of Order 739 </w:t>
            </w:r>
            <w:r w:rsidRPr="0070504F">
              <w:rPr>
                <w:rFonts w:ascii="Times New Roman" w:eastAsia="Times New Roman" w:hAnsi="Times New Roman" w:cs="Times New Roman"/>
                <w:color w:val="000000"/>
              </w:rPr>
              <w:t>[</w:t>
            </w:r>
            <w:r w:rsidR="006473C9">
              <w:rPr>
                <w:rFonts w:ascii="Times New Roman" w:eastAsia="Times New Roman" w:hAnsi="Times New Roman" w:cs="Times New Roman"/>
                <w:color w:val="000000"/>
              </w:rPr>
              <w:t>68</w:t>
            </w:r>
            <w:r w:rsidRPr="0070504F">
              <w:rPr>
                <w:rFonts w:ascii="Times New Roman" w:eastAsia="Times New Roman" w:hAnsi="Times New Roman" w:cs="Times New Roman"/>
                <w:color w:val="000000"/>
              </w:rPr>
              <w:t>].</w:t>
            </w:r>
          </w:p>
          <w:p w14:paraId="4062F2F1" w14:textId="77777777" w:rsidR="0070504F" w:rsidRPr="0070504F" w:rsidRDefault="0070504F" w:rsidP="0070504F">
            <w:pPr>
              <w:numPr>
                <w:ilvl w:val="0"/>
                <w:numId w:val="15"/>
              </w:numPr>
              <w:spacing w:before="240" w:after="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Medical devices in China are categorized into three classes:</w:t>
            </w:r>
          </w:p>
          <w:p w14:paraId="2F0ECD4F" w14:textId="77777777" w:rsidR="0070504F" w:rsidRPr="0070504F" w:rsidRDefault="0070504F" w:rsidP="0070504F">
            <w:pPr>
              <w:numPr>
                <w:ilvl w:val="0"/>
                <w:numId w:val="16"/>
              </w:numPr>
              <w:spacing w:after="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China Medical Device Class I – medical devices for which routine administration is adequate for safety and effectiveness.</w:t>
            </w:r>
          </w:p>
          <w:p w14:paraId="65E72DA8" w14:textId="77777777" w:rsidR="0070504F" w:rsidRPr="0070504F" w:rsidRDefault="0070504F" w:rsidP="0070504F">
            <w:pPr>
              <w:numPr>
                <w:ilvl w:val="0"/>
                <w:numId w:val="16"/>
              </w:numPr>
              <w:spacing w:after="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China Medical Device Class II – medical devices for which further control is required to ensure safety and effectiveness.</w:t>
            </w:r>
          </w:p>
          <w:p w14:paraId="70CF7DB0" w14:textId="77777777" w:rsidR="0070504F" w:rsidRPr="0070504F" w:rsidRDefault="0070504F" w:rsidP="0070504F">
            <w:pPr>
              <w:numPr>
                <w:ilvl w:val="0"/>
                <w:numId w:val="16"/>
              </w:numPr>
              <w:spacing w:after="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China Medical Device Class III – medical devices with life support, and sustenance functions, including those pose a potential threat to patients’ health or are implanted into the human body.</w:t>
            </w:r>
          </w:p>
          <w:p w14:paraId="6315CC36" w14:textId="77777777" w:rsidR="0070504F" w:rsidRPr="0070504F" w:rsidRDefault="0070504F" w:rsidP="0070504F">
            <w:pPr>
              <w:spacing w:after="0" w:line="240" w:lineRule="auto"/>
              <w:rPr>
                <w:rFonts w:ascii="Times New Roman" w:eastAsia="Times New Roman" w:hAnsi="Times New Roman" w:cs="Times New Roman"/>
                <w:sz w:val="24"/>
                <w:szCs w:val="24"/>
              </w:rPr>
            </w:pPr>
          </w:p>
        </w:tc>
      </w:tr>
      <w:tr w:rsidR="0070504F" w:rsidRPr="0070504F" w14:paraId="5C567CCF" w14:textId="77777777" w:rsidTr="0070504F">
        <w:trPr>
          <w:trHeight w:val="1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203A9" w14:textId="77777777"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lastRenderedPageBreak/>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3219E" w14:textId="77777777"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Japan</w:t>
            </w:r>
          </w:p>
          <w:p w14:paraId="6F4D7F37" w14:textId="4A295618"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Pharmaceuticals and Medical Devices Act (PMD Act) of November 2015 [</w:t>
            </w:r>
            <w:r w:rsidR="006473C9">
              <w:rPr>
                <w:rFonts w:ascii="Times New Roman" w:eastAsia="Times New Roman" w:hAnsi="Times New Roman" w:cs="Times New Roman"/>
                <w:color w:val="000000"/>
              </w:rPr>
              <w:t>43</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65280" w14:textId="77777777" w:rsidR="0070504F" w:rsidRPr="0070504F" w:rsidRDefault="0070504F" w:rsidP="0070504F">
            <w:pPr>
              <w:numPr>
                <w:ilvl w:val="0"/>
                <w:numId w:val="17"/>
              </w:numPr>
              <w:shd w:val="clear" w:color="auto" w:fill="FFFFFF"/>
              <w:spacing w:after="24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Medical device registry </w:t>
            </w:r>
          </w:p>
          <w:p w14:paraId="7267B32B" w14:textId="076C1A45"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The PMDA in Japan requires all medical devices to be registered in PMDA database prior to marketing [</w:t>
            </w:r>
            <w:r w:rsidR="006473C9">
              <w:rPr>
                <w:rFonts w:ascii="Times New Roman" w:eastAsia="Times New Roman" w:hAnsi="Times New Roman" w:cs="Times New Roman"/>
                <w:color w:val="000000"/>
              </w:rPr>
              <w:t>43</w:t>
            </w:r>
            <w:r w:rsidRPr="0070504F">
              <w:rPr>
                <w:rFonts w:ascii="Times New Roman" w:eastAsia="Times New Roman" w:hAnsi="Times New Roman" w:cs="Times New Roman"/>
                <w:color w:val="000000"/>
              </w:rPr>
              <w:t>]. </w:t>
            </w:r>
          </w:p>
          <w:p w14:paraId="0F515B15" w14:textId="77777777" w:rsidR="0070504F" w:rsidRPr="0070504F" w:rsidRDefault="0070504F" w:rsidP="0070504F">
            <w:pPr>
              <w:numPr>
                <w:ilvl w:val="0"/>
                <w:numId w:val="18"/>
              </w:numPr>
              <w:shd w:val="clear" w:color="auto" w:fill="FFFFFF"/>
              <w:spacing w:before="240" w:after="24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Adverse event reporting </w:t>
            </w:r>
          </w:p>
          <w:p w14:paraId="3F1FDBD1" w14:textId="07641001"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i/>
                <w:iCs/>
                <w:color w:val="000000"/>
              </w:rPr>
              <w:t xml:space="preserve">Act 60.10 of Ministerial Ordinance No. 169 </w:t>
            </w:r>
            <w:r w:rsidRPr="0070504F">
              <w:rPr>
                <w:rFonts w:ascii="Times New Roman" w:eastAsia="Times New Roman" w:hAnsi="Times New Roman" w:cs="Times New Roman"/>
                <w:color w:val="000000"/>
              </w:rPr>
              <w:t>[</w:t>
            </w:r>
            <w:r w:rsidR="006473C9">
              <w:rPr>
                <w:rFonts w:ascii="Times New Roman" w:eastAsia="Times New Roman" w:hAnsi="Times New Roman" w:cs="Times New Roman"/>
                <w:color w:val="000000"/>
              </w:rPr>
              <w:t>44</w:t>
            </w:r>
            <w:r w:rsidRPr="0070504F">
              <w:rPr>
                <w:rFonts w:ascii="Times New Roman" w:eastAsia="Times New Roman" w:hAnsi="Times New Roman" w:cs="Times New Roman"/>
                <w:color w:val="000000"/>
              </w:rPr>
              <w:t>]</w:t>
            </w:r>
            <w:r w:rsidRPr="0070504F">
              <w:rPr>
                <w:rFonts w:ascii="Times New Roman" w:eastAsia="Times New Roman" w:hAnsi="Times New Roman" w:cs="Times New Roman"/>
                <w:i/>
                <w:iCs/>
                <w:color w:val="000000"/>
              </w:rPr>
              <w:t xml:space="preserve"> </w:t>
            </w:r>
            <w:r w:rsidRPr="0070504F">
              <w:rPr>
                <w:rFonts w:ascii="Times New Roman" w:eastAsia="Times New Roman" w:hAnsi="Times New Roman" w:cs="Times New Roman"/>
                <w:color w:val="000000"/>
              </w:rPr>
              <w:t>regulates adverse event reporting by stipulating the obligation of medical device manufacturers and healthcare workers to report adverse events and initiate corrective actions. </w:t>
            </w:r>
          </w:p>
          <w:p w14:paraId="4440BAB1" w14:textId="77777777" w:rsidR="0070504F" w:rsidRPr="0070504F" w:rsidRDefault="0070504F" w:rsidP="0070504F">
            <w:pPr>
              <w:numPr>
                <w:ilvl w:val="0"/>
                <w:numId w:val="19"/>
              </w:numPr>
              <w:shd w:val="clear" w:color="auto" w:fill="FFFFFF"/>
              <w:spacing w:before="240" w:after="24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Medical device performance evaluation </w:t>
            </w:r>
          </w:p>
          <w:p w14:paraId="0246E302" w14:textId="76CCF37D" w:rsidR="0070504F" w:rsidRPr="0070504F" w:rsidRDefault="0070504F" w:rsidP="0070504F">
            <w:pPr>
              <w:spacing w:after="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 xml:space="preserve">According to the </w:t>
            </w:r>
            <w:r w:rsidRPr="0070504F">
              <w:rPr>
                <w:rFonts w:ascii="Times New Roman" w:eastAsia="Times New Roman" w:hAnsi="Times New Roman" w:cs="Times New Roman"/>
                <w:i/>
                <w:iCs/>
                <w:color w:val="000000"/>
              </w:rPr>
              <w:t xml:space="preserve">PMD Act of November 2015 </w:t>
            </w:r>
            <w:r w:rsidRPr="0070504F">
              <w:rPr>
                <w:rFonts w:ascii="Times New Roman" w:eastAsia="Times New Roman" w:hAnsi="Times New Roman" w:cs="Times New Roman"/>
                <w:color w:val="000000"/>
              </w:rPr>
              <w:t>[</w:t>
            </w:r>
            <w:r w:rsidR="006473C9">
              <w:rPr>
                <w:rFonts w:ascii="Times New Roman" w:eastAsia="Times New Roman" w:hAnsi="Times New Roman" w:cs="Times New Roman"/>
                <w:color w:val="000000"/>
              </w:rPr>
              <w:t>43</w:t>
            </w:r>
            <w:r w:rsidRPr="0070504F">
              <w:rPr>
                <w:rFonts w:ascii="Times New Roman" w:eastAsia="Times New Roman" w:hAnsi="Times New Roman" w:cs="Times New Roman"/>
                <w:color w:val="000000"/>
              </w:rPr>
              <w:t>]</w:t>
            </w:r>
            <w:r w:rsidRPr="0070504F">
              <w:rPr>
                <w:rFonts w:ascii="Times New Roman" w:eastAsia="Times New Roman" w:hAnsi="Times New Roman" w:cs="Times New Roman"/>
                <w:i/>
                <w:iCs/>
                <w:color w:val="000000"/>
              </w:rPr>
              <w:t xml:space="preserve">, </w:t>
            </w:r>
            <w:r w:rsidRPr="0070504F">
              <w:rPr>
                <w:rFonts w:ascii="Times New Roman" w:eastAsia="Times New Roman" w:hAnsi="Times New Roman" w:cs="Times New Roman"/>
                <w:color w:val="000000"/>
              </w:rPr>
              <w:t xml:space="preserve">an accredited certification body is to establish the </w:t>
            </w:r>
            <w:proofErr w:type="spellStart"/>
            <w:r w:rsidRPr="0070504F">
              <w:rPr>
                <w:rFonts w:ascii="Times New Roman" w:eastAsia="Times New Roman" w:hAnsi="Times New Roman" w:cs="Times New Roman"/>
                <w:color w:val="000000"/>
              </w:rPr>
              <w:t>rulebase</w:t>
            </w:r>
            <w:proofErr w:type="spellEnd"/>
            <w:r w:rsidRPr="0070504F">
              <w:rPr>
                <w:rFonts w:ascii="Times New Roman" w:eastAsia="Times New Roman" w:hAnsi="Times New Roman" w:cs="Times New Roman"/>
                <w:color w:val="000000"/>
              </w:rPr>
              <w:t xml:space="preserve"> for product inspection and apply for </w:t>
            </w:r>
            <w:proofErr w:type="spellStart"/>
            <w:r w:rsidRPr="0070504F">
              <w:rPr>
                <w:rFonts w:ascii="Times New Roman" w:eastAsia="Times New Roman" w:hAnsi="Times New Roman" w:cs="Times New Roman"/>
                <w:color w:val="000000"/>
              </w:rPr>
              <w:t>licencing</w:t>
            </w:r>
            <w:proofErr w:type="spellEnd"/>
            <w:r w:rsidRPr="0070504F">
              <w:rPr>
                <w:rFonts w:ascii="Times New Roman" w:eastAsia="Times New Roman" w:hAnsi="Times New Roman" w:cs="Times New Roman"/>
                <w:color w:val="000000"/>
              </w:rPr>
              <w:t xml:space="preserve">. After obtaining the </w:t>
            </w:r>
            <w:proofErr w:type="spellStart"/>
            <w:r w:rsidRPr="0070504F">
              <w:rPr>
                <w:rFonts w:ascii="Times New Roman" w:eastAsia="Times New Roman" w:hAnsi="Times New Roman" w:cs="Times New Roman"/>
                <w:color w:val="000000"/>
              </w:rPr>
              <w:t>licence</w:t>
            </w:r>
            <w:proofErr w:type="spellEnd"/>
            <w:r w:rsidRPr="0070504F">
              <w:rPr>
                <w:rFonts w:ascii="Times New Roman" w:eastAsia="Times New Roman" w:hAnsi="Times New Roman" w:cs="Times New Roman"/>
                <w:color w:val="000000"/>
              </w:rPr>
              <w:t xml:space="preserve">, the accredited body can perform third party performance evaluation. According to </w:t>
            </w:r>
            <w:r w:rsidRPr="0070504F">
              <w:rPr>
                <w:rFonts w:ascii="Times New Roman" w:eastAsia="Times New Roman" w:hAnsi="Times New Roman" w:cs="Times New Roman"/>
                <w:i/>
                <w:iCs/>
                <w:color w:val="000000"/>
              </w:rPr>
              <w:t xml:space="preserve">Act 60 of Ministerial Ordinance No. 169 </w:t>
            </w:r>
            <w:r w:rsidRPr="0070504F">
              <w:rPr>
                <w:rFonts w:ascii="Times New Roman" w:eastAsia="Times New Roman" w:hAnsi="Times New Roman" w:cs="Times New Roman"/>
                <w:color w:val="000000"/>
              </w:rPr>
              <w:t>[37]</w:t>
            </w:r>
            <w:r w:rsidRPr="0070504F">
              <w:rPr>
                <w:rFonts w:ascii="Times New Roman" w:eastAsia="Times New Roman" w:hAnsi="Times New Roman" w:cs="Times New Roman"/>
                <w:i/>
                <w:iCs/>
                <w:color w:val="000000"/>
              </w:rPr>
              <w:t xml:space="preserve">, </w:t>
            </w:r>
            <w:r w:rsidRPr="0070504F">
              <w:rPr>
                <w:rFonts w:ascii="Times New Roman" w:eastAsia="Times New Roman" w:hAnsi="Times New Roman" w:cs="Times New Roman"/>
                <w:color w:val="000000"/>
              </w:rPr>
              <w:t>the manufacturer is obliged to perform corrective actions upon devices that do not pass conformity assessment. </w:t>
            </w:r>
          </w:p>
          <w:p w14:paraId="747F7ADF" w14:textId="77777777" w:rsidR="0070504F" w:rsidRPr="0070504F" w:rsidRDefault="0070504F" w:rsidP="0070504F">
            <w:pPr>
              <w:numPr>
                <w:ilvl w:val="0"/>
                <w:numId w:val="20"/>
              </w:numPr>
              <w:spacing w:before="240" w:after="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Medical device categories:</w:t>
            </w:r>
          </w:p>
          <w:p w14:paraId="5999B13A" w14:textId="77777777" w:rsidR="0070504F" w:rsidRPr="0070504F" w:rsidRDefault="0070504F" w:rsidP="0070504F">
            <w:pPr>
              <w:numPr>
                <w:ilvl w:val="0"/>
                <w:numId w:val="21"/>
              </w:numPr>
              <w:spacing w:after="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Class I - extremely low risk medical devices</w:t>
            </w:r>
          </w:p>
          <w:p w14:paraId="7830E458" w14:textId="77777777" w:rsidR="0070504F" w:rsidRPr="0070504F" w:rsidRDefault="0070504F" w:rsidP="0070504F">
            <w:pPr>
              <w:numPr>
                <w:ilvl w:val="0"/>
                <w:numId w:val="21"/>
              </w:numPr>
              <w:spacing w:after="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Class II - low risk medical devices</w:t>
            </w:r>
          </w:p>
          <w:p w14:paraId="06B501DA" w14:textId="77777777" w:rsidR="0070504F" w:rsidRPr="0070504F" w:rsidRDefault="0070504F" w:rsidP="0070504F">
            <w:pPr>
              <w:numPr>
                <w:ilvl w:val="0"/>
                <w:numId w:val="21"/>
              </w:numPr>
              <w:spacing w:after="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Class III - medium risk medical devices</w:t>
            </w:r>
          </w:p>
          <w:p w14:paraId="6914C1AA" w14:textId="77777777" w:rsidR="0070504F" w:rsidRPr="0070504F" w:rsidRDefault="0070504F" w:rsidP="0070504F">
            <w:pPr>
              <w:numPr>
                <w:ilvl w:val="0"/>
                <w:numId w:val="21"/>
              </w:numPr>
              <w:spacing w:after="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Class IV - high risk medical devices</w:t>
            </w:r>
          </w:p>
        </w:tc>
      </w:tr>
      <w:tr w:rsidR="0070504F" w:rsidRPr="0070504F" w14:paraId="3CDC93F6" w14:textId="77777777" w:rsidTr="0070504F">
        <w:trPr>
          <w:trHeight w:val="2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EFA2C" w14:textId="77777777"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0562E" w14:textId="77777777"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Australia</w:t>
            </w:r>
          </w:p>
          <w:p w14:paraId="3F8707A4" w14:textId="3456AF14"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Chapter 4 of the Therapeutic Goods Act (TGA) 1989 [38], and the Therapeutic Goods (Medical Devices) Regulations 2002; last updated 23 July 2021[</w:t>
            </w:r>
            <w:r w:rsidR="006473C9">
              <w:rPr>
                <w:rFonts w:ascii="Times New Roman" w:eastAsia="Times New Roman" w:hAnsi="Times New Roman" w:cs="Times New Roman"/>
                <w:color w:val="000000"/>
              </w:rPr>
              <w:t>46</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CEBC1" w14:textId="77777777" w:rsidR="0070504F" w:rsidRPr="0070504F" w:rsidRDefault="0070504F" w:rsidP="0070504F">
            <w:pPr>
              <w:numPr>
                <w:ilvl w:val="0"/>
                <w:numId w:val="22"/>
              </w:numPr>
              <w:shd w:val="clear" w:color="auto" w:fill="FFFFFF"/>
              <w:spacing w:after="24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Medical device registry </w:t>
            </w:r>
          </w:p>
          <w:p w14:paraId="4E2D2866" w14:textId="016C3A50"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 xml:space="preserve">According to </w:t>
            </w:r>
            <w:r w:rsidRPr="0070504F">
              <w:rPr>
                <w:rFonts w:ascii="Times New Roman" w:eastAsia="Times New Roman" w:hAnsi="Times New Roman" w:cs="Times New Roman"/>
                <w:i/>
                <w:iCs/>
                <w:color w:val="000000"/>
              </w:rPr>
              <w:t>TGA</w:t>
            </w:r>
            <w:r w:rsidRPr="0070504F">
              <w:rPr>
                <w:rFonts w:ascii="Times New Roman" w:eastAsia="Times New Roman" w:hAnsi="Times New Roman" w:cs="Times New Roman"/>
                <w:color w:val="000000"/>
              </w:rPr>
              <w:t xml:space="preserve">, all medical devices must be registered in the </w:t>
            </w:r>
            <w:r w:rsidRPr="0070504F">
              <w:rPr>
                <w:rFonts w:ascii="Times New Roman" w:eastAsia="Times New Roman" w:hAnsi="Times New Roman" w:cs="Times New Roman"/>
                <w:i/>
                <w:iCs/>
                <w:color w:val="000000"/>
              </w:rPr>
              <w:t xml:space="preserve">Australian Register of Therapeutic Goods (ARTG) </w:t>
            </w:r>
            <w:r w:rsidRPr="0070504F">
              <w:rPr>
                <w:rFonts w:ascii="Times New Roman" w:eastAsia="Times New Roman" w:hAnsi="Times New Roman" w:cs="Times New Roman"/>
                <w:color w:val="000000"/>
              </w:rPr>
              <w:t>[</w:t>
            </w:r>
            <w:r w:rsidR="006473C9">
              <w:rPr>
                <w:rFonts w:ascii="Times New Roman" w:eastAsia="Times New Roman" w:hAnsi="Times New Roman" w:cs="Times New Roman"/>
                <w:color w:val="000000"/>
              </w:rPr>
              <w:t>45</w:t>
            </w:r>
            <w:r w:rsidRPr="0070504F">
              <w:rPr>
                <w:rFonts w:ascii="Times New Roman" w:eastAsia="Times New Roman" w:hAnsi="Times New Roman" w:cs="Times New Roman"/>
                <w:color w:val="000000"/>
              </w:rPr>
              <w:t>]</w:t>
            </w:r>
            <w:r w:rsidRPr="0070504F">
              <w:rPr>
                <w:rFonts w:ascii="Times New Roman" w:eastAsia="Times New Roman" w:hAnsi="Times New Roman" w:cs="Times New Roman"/>
                <w:i/>
                <w:iCs/>
                <w:color w:val="000000"/>
              </w:rPr>
              <w:t>.</w:t>
            </w:r>
          </w:p>
          <w:p w14:paraId="3573B05D" w14:textId="77777777" w:rsidR="0070504F" w:rsidRPr="0070504F" w:rsidRDefault="0070504F" w:rsidP="0070504F">
            <w:pPr>
              <w:numPr>
                <w:ilvl w:val="0"/>
                <w:numId w:val="23"/>
              </w:numPr>
              <w:shd w:val="clear" w:color="auto" w:fill="FFFFFF"/>
              <w:spacing w:before="240" w:after="24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Adverse event reporting </w:t>
            </w:r>
          </w:p>
          <w:p w14:paraId="3241BB6C" w14:textId="395D8439"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i/>
                <w:iCs/>
                <w:color w:val="000000"/>
              </w:rPr>
              <w:t xml:space="preserve">Chapter 5.7 of TGA </w:t>
            </w:r>
            <w:r w:rsidRPr="0070504F">
              <w:rPr>
                <w:rFonts w:ascii="Times New Roman" w:eastAsia="Times New Roman" w:hAnsi="Times New Roman" w:cs="Times New Roman"/>
                <w:color w:val="000000"/>
              </w:rPr>
              <w:t>[</w:t>
            </w:r>
            <w:r w:rsidR="006473C9">
              <w:rPr>
                <w:rFonts w:ascii="Times New Roman" w:eastAsia="Times New Roman" w:hAnsi="Times New Roman" w:cs="Times New Roman"/>
                <w:color w:val="000000"/>
              </w:rPr>
              <w:t>45</w:t>
            </w:r>
            <w:r w:rsidRPr="0070504F">
              <w:rPr>
                <w:rFonts w:ascii="Times New Roman" w:eastAsia="Times New Roman" w:hAnsi="Times New Roman" w:cs="Times New Roman"/>
                <w:color w:val="000000"/>
              </w:rPr>
              <w:t>]</w:t>
            </w:r>
            <w:r w:rsidRPr="0070504F">
              <w:rPr>
                <w:rFonts w:ascii="Times New Roman" w:eastAsia="Times New Roman" w:hAnsi="Times New Roman" w:cs="Times New Roman"/>
                <w:i/>
                <w:iCs/>
                <w:color w:val="000000"/>
              </w:rPr>
              <w:t xml:space="preserve"> </w:t>
            </w:r>
            <w:proofErr w:type="spellStart"/>
            <w:r w:rsidRPr="0070504F">
              <w:rPr>
                <w:rFonts w:ascii="Times New Roman" w:eastAsia="Times New Roman" w:hAnsi="Times New Roman" w:cs="Times New Roman"/>
                <w:color w:val="000000"/>
              </w:rPr>
              <w:t>reqiures</w:t>
            </w:r>
            <w:proofErr w:type="spellEnd"/>
            <w:r w:rsidRPr="0070504F">
              <w:rPr>
                <w:rFonts w:ascii="Times New Roman" w:eastAsia="Times New Roman" w:hAnsi="Times New Roman" w:cs="Times New Roman"/>
                <w:color w:val="000000"/>
              </w:rPr>
              <w:t xml:space="preserve"> distributors or users of medical devices to report adverse events or near adverse events to the TGA Incident Reporting and Investigation Scheme (IRIS).</w:t>
            </w:r>
          </w:p>
          <w:p w14:paraId="1EBFFDB2" w14:textId="77777777" w:rsidR="0070504F" w:rsidRPr="0070504F" w:rsidRDefault="0070504F" w:rsidP="0070504F">
            <w:pPr>
              <w:numPr>
                <w:ilvl w:val="0"/>
                <w:numId w:val="24"/>
              </w:numPr>
              <w:shd w:val="clear" w:color="auto" w:fill="FFFFFF"/>
              <w:spacing w:before="240" w:after="24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b/>
                <w:bCs/>
                <w:color w:val="000000"/>
              </w:rPr>
              <w:t>Medical device performance evaluation</w:t>
            </w:r>
            <w:r w:rsidRPr="0070504F">
              <w:rPr>
                <w:rFonts w:ascii="Times New Roman" w:eastAsia="Times New Roman" w:hAnsi="Times New Roman" w:cs="Times New Roman"/>
                <w:color w:val="000000"/>
              </w:rPr>
              <w:t> </w:t>
            </w:r>
          </w:p>
          <w:p w14:paraId="467458E0" w14:textId="77777777"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 xml:space="preserve">With the aim of ensuring medical device safety, post-market clinical follow-up studies are required by the </w:t>
            </w:r>
            <w:r w:rsidRPr="0070504F">
              <w:rPr>
                <w:rFonts w:ascii="Times New Roman" w:eastAsia="Times New Roman" w:hAnsi="Times New Roman" w:cs="Times New Roman"/>
                <w:i/>
                <w:iCs/>
                <w:color w:val="000000"/>
              </w:rPr>
              <w:t>TGA</w:t>
            </w:r>
            <w:r w:rsidRPr="0070504F">
              <w:rPr>
                <w:rFonts w:ascii="Times New Roman" w:eastAsia="Times New Roman" w:hAnsi="Times New Roman" w:cs="Times New Roman"/>
                <w:color w:val="000000"/>
              </w:rPr>
              <w:t xml:space="preserve">. A PMCF study is a study carried out following marketing </w:t>
            </w:r>
            <w:proofErr w:type="spellStart"/>
            <w:r w:rsidRPr="0070504F">
              <w:rPr>
                <w:rFonts w:ascii="Times New Roman" w:eastAsia="Times New Roman" w:hAnsi="Times New Roman" w:cs="Times New Roman"/>
                <w:color w:val="000000"/>
              </w:rPr>
              <w:t>authorisation</w:t>
            </w:r>
            <w:proofErr w:type="spellEnd"/>
            <w:r w:rsidRPr="0070504F">
              <w:rPr>
                <w:rFonts w:ascii="Times New Roman" w:eastAsia="Times New Roman" w:hAnsi="Times New Roman" w:cs="Times New Roman"/>
                <w:color w:val="000000"/>
              </w:rPr>
              <w:t xml:space="preserve"> to answer specific questions (uncertainties) relating to safety, clinical performance and/or effectiveness of a device when used in accordance with its labelling</w:t>
            </w:r>
          </w:p>
          <w:p w14:paraId="78826097" w14:textId="77777777" w:rsidR="0070504F" w:rsidRPr="0070504F" w:rsidRDefault="0070504F" w:rsidP="0070504F">
            <w:pPr>
              <w:numPr>
                <w:ilvl w:val="0"/>
                <w:numId w:val="25"/>
              </w:numPr>
              <w:shd w:val="clear" w:color="auto" w:fill="FFFFFF"/>
              <w:spacing w:before="240" w:after="24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Medical device classification</w:t>
            </w:r>
          </w:p>
          <w:p w14:paraId="3CC06B2E" w14:textId="77777777"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 xml:space="preserve">Classification of medical devices by the </w:t>
            </w:r>
            <w:r w:rsidRPr="0070504F">
              <w:rPr>
                <w:rFonts w:ascii="Times New Roman" w:eastAsia="Times New Roman" w:hAnsi="Times New Roman" w:cs="Times New Roman"/>
                <w:i/>
                <w:iCs/>
                <w:color w:val="000000"/>
              </w:rPr>
              <w:t>TGA</w:t>
            </w:r>
            <w:r w:rsidRPr="0070504F">
              <w:rPr>
                <w:rFonts w:ascii="Times New Roman" w:eastAsia="Times New Roman" w:hAnsi="Times New Roman" w:cs="Times New Roman"/>
                <w:color w:val="000000"/>
              </w:rPr>
              <w:t xml:space="preserve"> is almost identical to the classification in the EU. </w:t>
            </w:r>
          </w:p>
        </w:tc>
      </w:tr>
      <w:tr w:rsidR="0070504F" w:rsidRPr="0070504F" w14:paraId="6DD18200" w14:textId="77777777" w:rsidTr="0070504F">
        <w:trPr>
          <w:trHeight w:val="37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50C72" w14:textId="77777777"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B6794" w14:textId="77777777"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United Kingdom</w:t>
            </w:r>
          </w:p>
          <w:p w14:paraId="32A15D7A" w14:textId="77777777"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UK Medical Devices Regulation (UK MDR) 2002 - Section 48: Post-market surveillance [40]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BDA73" w14:textId="77777777" w:rsidR="0070504F" w:rsidRPr="0070504F" w:rsidRDefault="0070504F" w:rsidP="0070504F">
            <w:pPr>
              <w:numPr>
                <w:ilvl w:val="0"/>
                <w:numId w:val="26"/>
              </w:numPr>
              <w:shd w:val="clear" w:color="auto" w:fill="FFFFFF"/>
              <w:spacing w:after="24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Medical device registry </w:t>
            </w:r>
          </w:p>
          <w:p w14:paraId="57485268" w14:textId="2F0999ED"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 xml:space="preserve">UK MDR 2002 requires manufacturers to register medical devices with the </w:t>
            </w:r>
            <w:r w:rsidRPr="0070504F">
              <w:rPr>
                <w:rFonts w:ascii="Times New Roman" w:eastAsia="Times New Roman" w:hAnsi="Times New Roman" w:cs="Times New Roman"/>
                <w:i/>
                <w:iCs/>
                <w:color w:val="000000"/>
              </w:rPr>
              <w:t xml:space="preserve">Medicines and Healthcare products Regulatory Agency </w:t>
            </w:r>
            <w:r w:rsidRPr="0070504F">
              <w:rPr>
                <w:rFonts w:ascii="Times New Roman" w:eastAsia="Times New Roman" w:hAnsi="Times New Roman" w:cs="Times New Roman"/>
                <w:color w:val="000000"/>
              </w:rPr>
              <w:t>[4</w:t>
            </w:r>
            <w:r w:rsidR="006473C9">
              <w:rPr>
                <w:rFonts w:ascii="Times New Roman" w:eastAsia="Times New Roman" w:hAnsi="Times New Roman" w:cs="Times New Roman"/>
                <w:color w:val="000000"/>
              </w:rPr>
              <w:t>7</w:t>
            </w:r>
            <w:r w:rsidRPr="0070504F">
              <w:rPr>
                <w:rFonts w:ascii="Times New Roman" w:eastAsia="Times New Roman" w:hAnsi="Times New Roman" w:cs="Times New Roman"/>
                <w:color w:val="000000"/>
              </w:rPr>
              <w:t>]. The data from the registries is used to strengthen post-market surveillance.</w:t>
            </w:r>
          </w:p>
          <w:p w14:paraId="0C8E3787" w14:textId="77777777" w:rsidR="0070504F" w:rsidRPr="0070504F" w:rsidRDefault="0070504F" w:rsidP="0070504F">
            <w:pPr>
              <w:numPr>
                <w:ilvl w:val="0"/>
                <w:numId w:val="27"/>
              </w:numPr>
              <w:shd w:val="clear" w:color="auto" w:fill="FFFFFF"/>
              <w:spacing w:before="240" w:after="24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Adverse event reporting </w:t>
            </w:r>
          </w:p>
          <w:p w14:paraId="46F4DE0E" w14:textId="579D6529"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i/>
                <w:iCs/>
                <w:color w:val="000000"/>
              </w:rPr>
              <w:t xml:space="preserve">Article 50.2 of the UK MDR </w:t>
            </w:r>
            <w:r w:rsidRPr="0070504F">
              <w:rPr>
                <w:rFonts w:ascii="Times New Roman" w:eastAsia="Times New Roman" w:hAnsi="Times New Roman" w:cs="Times New Roman"/>
                <w:color w:val="000000"/>
              </w:rPr>
              <w:t>[4</w:t>
            </w:r>
            <w:r w:rsidR="006473C9">
              <w:rPr>
                <w:rFonts w:ascii="Times New Roman" w:eastAsia="Times New Roman" w:hAnsi="Times New Roman" w:cs="Times New Roman"/>
                <w:color w:val="000000"/>
              </w:rPr>
              <w:t>7</w:t>
            </w:r>
            <w:r w:rsidRPr="0070504F">
              <w:rPr>
                <w:rFonts w:ascii="Times New Roman" w:eastAsia="Times New Roman" w:hAnsi="Times New Roman" w:cs="Times New Roman"/>
                <w:color w:val="000000"/>
              </w:rPr>
              <w:t>]</w:t>
            </w:r>
            <w:r w:rsidRPr="0070504F">
              <w:rPr>
                <w:rFonts w:ascii="Times New Roman" w:eastAsia="Times New Roman" w:hAnsi="Times New Roman" w:cs="Times New Roman"/>
                <w:i/>
                <w:iCs/>
                <w:color w:val="000000"/>
              </w:rPr>
              <w:t xml:space="preserve">, </w:t>
            </w:r>
            <w:r w:rsidRPr="0070504F">
              <w:rPr>
                <w:rFonts w:ascii="Times New Roman" w:eastAsia="Times New Roman" w:hAnsi="Times New Roman" w:cs="Times New Roman"/>
                <w:color w:val="000000"/>
              </w:rPr>
              <w:t xml:space="preserve">requires reporting of adverse events regardless of their severity to the MHRA with an aim of enhancing the MHRA’s ability to identify MD issues and taking appropriate corrective actions. According to </w:t>
            </w:r>
            <w:r w:rsidRPr="0070504F">
              <w:rPr>
                <w:rFonts w:ascii="Times New Roman" w:eastAsia="Times New Roman" w:hAnsi="Times New Roman" w:cs="Times New Roman"/>
                <w:i/>
                <w:iCs/>
                <w:color w:val="000000"/>
              </w:rPr>
              <w:t xml:space="preserve">Article 51.2 </w:t>
            </w:r>
            <w:r w:rsidRPr="0070504F">
              <w:rPr>
                <w:rFonts w:ascii="Times New Roman" w:eastAsia="Times New Roman" w:hAnsi="Times New Roman" w:cs="Times New Roman"/>
                <w:color w:val="000000"/>
              </w:rPr>
              <w:t>[4</w:t>
            </w:r>
            <w:r w:rsidR="006473C9">
              <w:rPr>
                <w:rFonts w:ascii="Times New Roman" w:eastAsia="Times New Roman" w:hAnsi="Times New Roman" w:cs="Times New Roman"/>
                <w:color w:val="000000"/>
              </w:rPr>
              <w:t>7</w:t>
            </w:r>
            <w:r w:rsidRPr="0070504F">
              <w:rPr>
                <w:rFonts w:ascii="Times New Roman" w:eastAsia="Times New Roman" w:hAnsi="Times New Roman" w:cs="Times New Roman"/>
                <w:color w:val="000000"/>
              </w:rPr>
              <w:t>]</w:t>
            </w:r>
            <w:r w:rsidRPr="0070504F">
              <w:rPr>
                <w:rFonts w:ascii="Times New Roman" w:eastAsia="Times New Roman" w:hAnsi="Times New Roman" w:cs="Times New Roman"/>
                <w:i/>
                <w:iCs/>
                <w:color w:val="000000"/>
              </w:rPr>
              <w:t xml:space="preserve">, </w:t>
            </w:r>
            <w:r w:rsidRPr="0070504F">
              <w:rPr>
                <w:rFonts w:ascii="Times New Roman" w:eastAsia="Times New Roman" w:hAnsi="Times New Roman" w:cs="Times New Roman"/>
                <w:color w:val="000000"/>
              </w:rPr>
              <w:t>manufacturers are obliged to submit field safety notices (FSNs) to help ensure consistency of reporting across the country. </w:t>
            </w:r>
          </w:p>
          <w:p w14:paraId="3AF798C7" w14:textId="77777777" w:rsidR="0070504F" w:rsidRPr="0070504F" w:rsidRDefault="0070504F" w:rsidP="0070504F">
            <w:pPr>
              <w:numPr>
                <w:ilvl w:val="0"/>
                <w:numId w:val="28"/>
              </w:numPr>
              <w:shd w:val="clear" w:color="auto" w:fill="FFFFFF"/>
              <w:spacing w:before="240" w:after="24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Medical device performance evaluation</w:t>
            </w:r>
          </w:p>
          <w:p w14:paraId="47ACCE07" w14:textId="1FD6A3B5"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i/>
                <w:iCs/>
                <w:color w:val="000000"/>
              </w:rPr>
              <w:t xml:space="preserve">Article 48 </w:t>
            </w:r>
            <w:r w:rsidRPr="0070504F">
              <w:rPr>
                <w:rFonts w:ascii="Times New Roman" w:eastAsia="Times New Roman" w:hAnsi="Times New Roman" w:cs="Times New Roman"/>
                <w:color w:val="000000"/>
              </w:rPr>
              <w:t>[4</w:t>
            </w:r>
            <w:r w:rsidR="006473C9">
              <w:rPr>
                <w:rFonts w:ascii="Times New Roman" w:eastAsia="Times New Roman" w:hAnsi="Times New Roman" w:cs="Times New Roman"/>
                <w:color w:val="000000"/>
              </w:rPr>
              <w:t>7</w:t>
            </w:r>
            <w:r w:rsidRPr="0070504F">
              <w:rPr>
                <w:rFonts w:ascii="Times New Roman" w:eastAsia="Times New Roman" w:hAnsi="Times New Roman" w:cs="Times New Roman"/>
                <w:color w:val="000000"/>
              </w:rPr>
              <w:t>]</w:t>
            </w:r>
            <w:r w:rsidRPr="0070504F">
              <w:rPr>
                <w:rFonts w:ascii="Times New Roman" w:eastAsia="Times New Roman" w:hAnsi="Times New Roman" w:cs="Times New Roman"/>
                <w:i/>
                <w:iCs/>
                <w:color w:val="000000"/>
              </w:rPr>
              <w:t xml:space="preserve"> </w:t>
            </w:r>
            <w:r w:rsidRPr="0070504F">
              <w:rPr>
                <w:rFonts w:ascii="Times New Roman" w:eastAsia="Times New Roman" w:hAnsi="Times New Roman" w:cs="Times New Roman"/>
                <w:color w:val="000000"/>
              </w:rPr>
              <w:t xml:space="preserve">defines the necessity of post-market performance follow-up (PMPF) for IVD medical devices with an aim of continuous monitoring of MDs. This would enable proactive collection and evaluation of performance and </w:t>
            </w:r>
            <w:r w:rsidRPr="0070504F">
              <w:rPr>
                <w:rFonts w:ascii="Times New Roman" w:eastAsia="Times New Roman" w:hAnsi="Times New Roman" w:cs="Times New Roman"/>
                <w:color w:val="000000"/>
              </w:rPr>
              <w:lastRenderedPageBreak/>
              <w:t>relevant scientific data from the used IVD and estimation of the expected lifetime.</w:t>
            </w:r>
          </w:p>
          <w:p w14:paraId="4B68C42D" w14:textId="77777777" w:rsidR="0070504F" w:rsidRPr="0070504F" w:rsidRDefault="0070504F" w:rsidP="0070504F">
            <w:pPr>
              <w:numPr>
                <w:ilvl w:val="0"/>
                <w:numId w:val="29"/>
              </w:numPr>
              <w:shd w:val="clear" w:color="auto" w:fill="FFFFFF"/>
              <w:spacing w:before="240" w:after="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Medical device classification</w:t>
            </w:r>
          </w:p>
          <w:p w14:paraId="0D3ABFD4" w14:textId="77777777" w:rsidR="0070504F" w:rsidRPr="0070504F" w:rsidRDefault="0070504F" w:rsidP="0070504F">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Class I - generally regarded as low risk</w:t>
            </w:r>
          </w:p>
          <w:p w14:paraId="21DDD473" w14:textId="77777777" w:rsidR="0070504F" w:rsidRPr="0070504F" w:rsidRDefault="0070504F" w:rsidP="0070504F">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 xml:space="preserve">Class </w:t>
            </w:r>
            <w:proofErr w:type="spellStart"/>
            <w:r w:rsidRPr="0070504F">
              <w:rPr>
                <w:rFonts w:ascii="Times New Roman" w:eastAsia="Times New Roman" w:hAnsi="Times New Roman" w:cs="Times New Roman"/>
                <w:color w:val="000000"/>
              </w:rPr>
              <w:t>IIa</w:t>
            </w:r>
            <w:proofErr w:type="spellEnd"/>
            <w:r w:rsidRPr="0070504F">
              <w:rPr>
                <w:rFonts w:ascii="Times New Roman" w:eastAsia="Times New Roman" w:hAnsi="Times New Roman" w:cs="Times New Roman"/>
                <w:color w:val="000000"/>
              </w:rPr>
              <w:t xml:space="preserve"> - generally regarded as medium risk</w:t>
            </w:r>
          </w:p>
          <w:p w14:paraId="562C0E9A" w14:textId="77777777" w:rsidR="0070504F" w:rsidRPr="0070504F" w:rsidRDefault="0070504F" w:rsidP="0070504F">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Class IIb - generally regarded as medium risk</w:t>
            </w:r>
          </w:p>
          <w:p w14:paraId="73390714" w14:textId="77777777" w:rsidR="0070504F" w:rsidRPr="0070504F" w:rsidRDefault="0070504F" w:rsidP="0070504F">
            <w:pPr>
              <w:numPr>
                <w:ilvl w:val="0"/>
                <w:numId w:val="30"/>
              </w:numPr>
              <w:shd w:val="clear" w:color="auto" w:fill="FFFFFF"/>
              <w:spacing w:after="240" w:line="240" w:lineRule="auto"/>
              <w:jc w:val="both"/>
              <w:textAlignment w:val="baseline"/>
              <w:rPr>
                <w:rFonts w:ascii="Times New Roman" w:eastAsia="Times New Roman" w:hAnsi="Times New Roman" w:cs="Times New Roman"/>
                <w:color w:val="000000"/>
              </w:rPr>
            </w:pPr>
            <w:r w:rsidRPr="0070504F">
              <w:rPr>
                <w:rFonts w:ascii="Times New Roman" w:eastAsia="Times New Roman" w:hAnsi="Times New Roman" w:cs="Times New Roman"/>
                <w:color w:val="000000"/>
              </w:rPr>
              <w:t>Class III - generally regarded as high risk</w:t>
            </w:r>
          </w:p>
        </w:tc>
      </w:tr>
      <w:tr w:rsidR="0070504F" w:rsidRPr="0070504F" w14:paraId="3C3C06E4" w14:textId="77777777" w:rsidTr="0070504F">
        <w:trPr>
          <w:trHeight w:val="24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51E08" w14:textId="77777777"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lastRenderedPageBreak/>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DDF44" w14:textId="77777777"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Switzerland</w:t>
            </w:r>
          </w:p>
          <w:p w14:paraId="583AFCAF" w14:textId="644B092E" w:rsidR="0070504F" w:rsidRPr="0070504F" w:rsidRDefault="0070504F" w:rsidP="0070504F">
            <w:pPr>
              <w:spacing w:before="240" w:after="0" w:line="240" w:lineRule="auto"/>
              <w:jc w:val="center"/>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Medical Device Ordinance (</w:t>
            </w:r>
            <w:proofErr w:type="spellStart"/>
            <w:r w:rsidRPr="0070504F">
              <w:rPr>
                <w:rFonts w:ascii="Times New Roman" w:eastAsia="Times New Roman" w:hAnsi="Times New Roman" w:cs="Times New Roman"/>
                <w:color w:val="000000"/>
              </w:rPr>
              <w:t>MedDO</w:t>
            </w:r>
            <w:proofErr w:type="spellEnd"/>
            <w:r w:rsidRPr="0070504F">
              <w:rPr>
                <w:rFonts w:ascii="Times New Roman" w:eastAsia="Times New Roman" w:hAnsi="Times New Roman" w:cs="Times New Roman"/>
                <w:color w:val="000000"/>
              </w:rPr>
              <w:t xml:space="preserve">) </w:t>
            </w:r>
            <w:proofErr w:type="gramStart"/>
            <w:r w:rsidRPr="0070504F">
              <w:rPr>
                <w:rFonts w:ascii="Times New Roman" w:eastAsia="Times New Roman" w:hAnsi="Times New Roman" w:cs="Times New Roman"/>
                <w:color w:val="000000"/>
              </w:rPr>
              <w:t>/  August</w:t>
            </w:r>
            <w:proofErr w:type="gramEnd"/>
            <w:r w:rsidRPr="0070504F">
              <w:rPr>
                <w:rFonts w:ascii="Times New Roman" w:eastAsia="Times New Roman" w:hAnsi="Times New Roman" w:cs="Times New Roman"/>
                <w:color w:val="000000"/>
              </w:rPr>
              <w:t xml:space="preserve"> 2020 [4</w:t>
            </w:r>
            <w:r w:rsidR="006473C9">
              <w:rPr>
                <w:rFonts w:ascii="Times New Roman" w:eastAsia="Times New Roman" w:hAnsi="Times New Roman" w:cs="Times New Roman"/>
                <w:color w:val="000000"/>
              </w:rPr>
              <w:t>8</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C9C44" w14:textId="77777777" w:rsidR="0070504F" w:rsidRPr="0070504F" w:rsidRDefault="0070504F" w:rsidP="0070504F">
            <w:pPr>
              <w:numPr>
                <w:ilvl w:val="0"/>
                <w:numId w:val="31"/>
              </w:numPr>
              <w:shd w:val="clear" w:color="auto" w:fill="FFFFFF"/>
              <w:spacing w:after="24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Medical device registry </w:t>
            </w:r>
          </w:p>
          <w:p w14:paraId="1B03BC9D" w14:textId="76FB313D"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proofErr w:type="spellStart"/>
            <w:r w:rsidRPr="0070504F">
              <w:rPr>
                <w:rFonts w:ascii="Times New Roman" w:eastAsia="Times New Roman" w:hAnsi="Times New Roman" w:cs="Times New Roman"/>
                <w:color w:val="000000"/>
              </w:rPr>
              <w:t>MedDO</w:t>
            </w:r>
            <w:proofErr w:type="spellEnd"/>
            <w:r w:rsidRPr="0070504F">
              <w:rPr>
                <w:rFonts w:ascii="Times New Roman" w:eastAsia="Times New Roman" w:hAnsi="Times New Roman" w:cs="Times New Roman"/>
                <w:color w:val="000000"/>
              </w:rPr>
              <w:t xml:space="preserve"> requires all medical devices to be assigned with a UDI. Switzerland MD registration procedure is in accordance with EU registration procedure [4</w:t>
            </w:r>
            <w:r w:rsidR="006473C9">
              <w:rPr>
                <w:rFonts w:ascii="Times New Roman" w:eastAsia="Times New Roman" w:hAnsi="Times New Roman" w:cs="Times New Roman"/>
                <w:color w:val="000000"/>
              </w:rPr>
              <w:t>8</w:t>
            </w:r>
            <w:r w:rsidRPr="0070504F">
              <w:rPr>
                <w:rFonts w:ascii="Times New Roman" w:eastAsia="Times New Roman" w:hAnsi="Times New Roman" w:cs="Times New Roman"/>
                <w:color w:val="000000"/>
              </w:rPr>
              <w:t>]. </w:t>
            </w:r>
          </w:p>
          <w:p w14:paraId="796799B0" w14:textId="77777777" w:rsidR="0070504F" w:rsidRPr="0070504F" w:rsidRDefault="0070504F" w:rsidP="0070504F">
            <w:pPr>
              <w:numPr>
                <w:ilvl w:val="0"/>
                <w:numId w:val="32"/>
              </w:numPr>
              <w:shd w:val="clear" w:color="auto" w:fill="FFFFFF"/>
              <w:spacing w:before="240" w:after="24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Adverse event reporting </w:t>
            </w:r>
          </w:p>
          <w:p w14:paraId="16800028" w14:textId="3CE874B0"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 xml:space="preserve">Medical device manufacturers in Switzerland are obliged to report adverse events to </w:t>
            </w:r>
            <w:proofErr w:type="spellStart"/>
            <w:r w:rsidRPr="0070504F">
              <w:rPr>
                <w:rFonts w:ascii="Times New Roman" w:eastAsia="Times New Roman" w:hAnsi="Times New Roman" w:cs="Times New Roman"/>
                <w:color w:val="000000"/>
              </w:rPr>
              <w:t>Swissmedic</w:t>
            </w:r>
            <w:proofErr w:type="spellEnd"/>
            <w:r w:rsidRPr="0070504F">
              <w:rPr>
                <w:rFonts w:ascii="Times New Roman" w:eastAsia="Times New Roman" w:hAnsi="Times New Roman" w:cs="Times New Roman"/>
                <w:color w:val="000000"/>
              </w:rPr>
              <w:t xml:space="preserve"> in accordance with the </w:t>
            </w:r>
            <w:r w:rsidRPr="0070504F">
              <w:rPr>
                <w:rFonts w:ascii="Times New Roman" w:eastAsia="Times New Roman" w:hAnsi="Times New Roman" w:cs="Times New Roman"/>
                <w:i/>
                <w:iCs/>
                <w:color w:val="000000"/>
              </w:rPr>
              <w:t xml:space="preserve">EU MDR </w:t>
            </w:r>
            <w:r w:rsidRPr="0070504F">
              <w:rPr>
                <w:rFonts w:ascii="Times New Roman" w:eastAsia="Times New Roman" w:hAnsi="Times New Roman" w:cs="Times New Roman"/>
                <w:color w:val="000000"/>
              </w:rPr>
              <w:t>[3</w:t>
            </w:r>
            <w:r w:rsidR="006473C9">
              <w:rPr>
                <w:rFonts w:ascii="Times New Roman" w:eastAsia="Times New Roman" w:hAnsi="Times New Roman" w:cs="Times New Roman"/>
                <w:color w:val="000000"/>
              </w:rPr>
              <w:t>8</w:t>
            </w:r>
            <w:r w:rsidRPr="0070504F">
              <w:rPr>
                <w:rFonts w:ascii="Times New Roman" w:eastAsia="Times New Roman" w:hAnsi="Times New Roman" w:cs="Times New Roman"/>
                <w:color w:val="000000"/>
              </w:rPr>
              <w:t>]. </w:t>
            </w:r>
          </w:p>
          <w:p w14:paraId="4792C4E4" w14:textId="77777777" w:rsidR="0070504F" w:rsidRPr="0070504F" w:rsidRDefault="0070504F" w:rsidP="0070504F">
            <w:pPr>
              <w:numPr>
                <w:ilvl w:val="0"/>
                <w:numId w:val="33"/>
              </w:numPr>
              <w:shd w:val="clear" w:color="auto" w:fill="FFFFFF"/>
              <w:spacing w:before="240" w:after="240" w:line="240" w:lineRule="auto"/>
              <w:jc w:val="both"/>
              <w:textAlignment w:val="baseline"/>
              <w:rPr>
                <w:rFonts w:ascii="Times New Roman" w:eastAsia="Times New Roman" w:hAnsi="Times New Roman" w:cs="Times New Roman"/>
                <w:b/>
                <w:bCs/>
                <w:color w:val="000000"/>
              </w:rPr>
            </w:pPr>
            <w:r w:rsidRPr="0070504F">
              <w:rPr>
                <w:rFonts w:ascii="Times New Roman" w:eastAsia="Times New Roman" w:hAnsi="Times New Roman" w:cs="Times New Roman"/>
                <w:b/>
                <w:bCs/>
                <w:color w:val="000000"/>
              </w:rPr>
              <w:t>Medical device performance evaluation </w:t>
            </w:r>
          </w:p>
          <w:p w14:paraId="649827CE" w14:textId="7B0470CD" w:rsidR="0070504F" w:rsidRPr="0070504F" w:rsidRDefault="0070504F" w:rsidP="0070504F">
            <w:pPr>
              <w:shd w:val="clear" w:color="auto" w:fill="FFFFFF"/>
              <w:spacing w:before="240" w:after="240" w:line="240" w:lineRule="auto"/>
              <w:jc w:val="both"/>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 xml:space="preserve">Performance evaluation of MDs in Switzerland is done in accordance with the </w:t>
            </w:r>
            <w:r w:rsidRPr="0070504F">
              <w:rPr>
                <w:rFonts w:ascii="Times New Roman" w:eastAsia="Times New Roman" w:hAnsi="Times New Roman" w:cs="Times New Roman"/>
                <w:i/>
                <w:iCs/>
                <w:color w:val="000000"/>
              </w:rPr>
              <w:t xml:space="preserve">EU MDR </w:t>
            </w:r>
            <w:r w:rsidRPr="0070504F">
              <w:rPr>
                <w:rFonts w:ascii="Times New Roman" w:eastAsia="Times New Roman" w:hAnsi="Times New Roman" w:cs="Times New Roman"/>
                <w:color w:val="000000"/>
              </w:rPr>
              <w:t>[</w:t>
            </w:r>
            <w:r w:rsidR="006473C9">
              <w:rPr>
                <w:rFonts w:ascii="Times New Roman" w:eastAsia="Times New Roman" w:hAnsi="Times New Roman" w:cs="Times New Roman"/>
                <w:color w:val="000000"/>
              </w:rPr>
              <w:t>38</w:t>
            </w:r>
            <w:r w:rsidRPr="0070504F">
              <w:rPr>
                <w:rFonts w:ascii="Times New Roman" w:eastAsia="Times New Roman" w:hAnsi="Times New Roman" w:cs="Times New Roman"/>
                <w:color w:val="000000"/>
              </w:rPr>
              <w:t>]</w:t>
            </w:r>
            <w:r w:rsidRPr="0070504F">
              <w:rPr>
                <w:rFonts w:ascii="Times New Roman" w:eastAsia="Times New Roman" w:hAnsi="Times New Roman" w:cs="Times New Roman"/>
                <w:i/>
                <w:iCs/>
                <w:color w:val="000000"/>
              </w:rPr>
              <w:t>.</w:t>
            </w:r>
          </w:p>
        </w:tc>
      </w:tr>
    </w:tbl>
    <w:p w14:paraId="65E138BC" w14:textId="77777777" w:rsidR="0070504F" w:rsidRPr="0070504F" w:rsidRDefault="0070504F" w:rsidP="0070504F">
      <w:pPr>
        <w:spacing w:after="0" w:line="240" w:lineRule="auto"/>
        <w:rPr>
          <w:rFonts w:ascii="Times New Roman" w:eastAsia="Times New Roman" w:hAnsi="Times New Roman" w:cs="Times New Roman"/>
          <w:sz w:val="24"/>
          <w:szCs w:val="24"/>
        </w:rPr>
      </w:pPr>
    </w:p>
    <w:p w14:paraId="01EA308D" w14:textId="77777777" w:rsidR="0070504F" w:rsidRDefault="0070504F" w:rsidP="0070504F">
      <w:pPr>
        <w:spacing w:line="240" w:lineRule="auto"/>
        <w:jc w:val="center"/>
        <w:rPr>
          <w:rFonts w:ascii="Times New Roman" w:eastAsia="Times New Roman" w:hAnsi="Times New Roman" w:cs="Times New Roman"/>
          <w:color w:val="000000"/>
        </w:rPr>
      </w:pPr>
    </w:p>
    <w:p w14:paraId="2F3CBB1B" w14:textId="77777777" w:rsidR="0070504F" w:rsidRDefault="0070504F" w:rsidP="0070504F">
      <w:pPr>
        <w:spacing w:line="240" w:lineRule="auto"/>
        <w:jc w:val="center"/>
        <w:rPr>
          <w:rFonts w:ascii="Times New Roman" w:eastAsia="Times New Roman" w:hAnsi="Times New Roman" w:cs="Times New Roman"/>
          <w:color w:val="000000"/>
        </w:rPr>
      </w:pPr>
    </w:p>
    <w:p w14:paraId="5F338D75" w14:textId="77777777" w:rsidR="0070504F" w:rsidRDefault="0070504F" w:rsidP="0070504F">
      <w:pPr>
        <w:spacing w:line="240" w:lineRule="auto"/>
        <w:jc w:val="center"/>
        <w:rPr>
          <w:rFonts w:ascii="Times New Roman" w:eastAsia="Times New Roman" w:hAnsi="Times New Roman" w:cs="Times New Roman"/>
          <w:color w:val="000000"/>
        </w:rPr>
      </w:pPr>
    </w:p>
    <w:p w14:paraId="79ACABDA" w14:textId="77777777" w:rsidR="0070504F" w:rsidRDefault="0070504F" w:rsidP="0070504F">
      <w:pPr>
        <w:spacing w:line="240" w:lineRule="auto"/>
        <w:jc w:val="center"/>
        <w:rPr>
          <w:rFonts w:ascii="Times New Roman" w:eastAsia="Times New Roman" w:hAnsi="Times New Roman" w:cs="Times New Roman"/>
          <w:color w:val="000000"/>
        </w:rPr>
      </w:pPr>
    </w:p>
    <w:p w14:paraId="59FA9BF8" w14:textId="77777777" w:rsidR="0070504F" w:rsidRDefault="0070504F" w:rsidP="0070504F">
      <w:pPr>
        <w:spacing w:line="240" w:lineRule="auto"/>
        <w:jc w:val="center"/>
        <w:rPr>
          <w:rFonts w:ascii="Times New Roman" w:eastAsia="Times New Roman" w:hAnsi="Times New Roman" w:cs="Times New Roman"/>
          <w:color w:val="000000"/>
        </w:rPr>
      </w:pPr>
    </w:p>
    <w:p w14:paraId="3B75C4AA" w14:textId="77777777" w:rsidR="0070504F" w:rsidRDefault="0070504F" w:rsidP="0070504F">
      <w:pPr>
        <w:spacing w:line="240" w:lineRule="auto"/>
        <w:jc w:val="center"/>
        <w:rPr>
          <w:rFonts w:ascii="Times New Roman" w:eastAsia="Times New Roman" w:hAnsi="Times New Roman" w:cs="Times New Roman"/>
          <w:color w:val="000000"/>
        </w:rPr>
      </w:pPr>
    </w:p>
    <w:p w14:paraId="0502D077" w14:textId="77777777" w:rsidR="0070504F" w:rsidRDefault="0070504F" w:rsidP="0070504F">
      <w:pPr>
        <w:spacing w:line="240" w:lineRule="auto"/>
        <w:jc w:val="center"/>
        <w:rPr>
          <w:rFonts w:ascii="Times New Roman" w:eastAsia="Times New Roman" w:hAnsi="Times New Roman" w:cs="Times New Roman"/>
          <w:color w:val="000000"/>
        </w:rPr>
      </w:pPr>
    </w:p>
    <w:p w14:paraId="31095FDB" w14:textId="77777777" w:rsidR="0070504F" w:rsidRDefault="0070504F" w:rsidP="0070504F">
      <w:pPr>
        <w:spacing w:line="240" w:lineRule="auto"/>
        <w:jc w:val="center"/>
        <w:rPr>
          <w:rFonts w:ascii="Times New Roman" w:eastAsia="Times New Roman" w:hAnsi="Times New Roman" w:cs="Times New Roman"/>
          <w:color w:val="000000"/>
        </w:rPr>
      </w:pPr>
    </w:p>
    <w:p w14:paraId="0ECD4E25" w14:textId="77777777" w:rsidR="0070504F" w:rsidRDefault="0070504F" w:rsidP="0070504F">
      <w:pPr>
        <w:spacing w:line="240" w:lineRule="auto"/>
        <w:jc w:val="center"/>
        <w:rPr>
          <w:rFonts w:ascii="Times New Roman" w:eastAsia="Times New Roman" w:hAnsi="Times New Roman" w:cs="Times New Roman"/>
          <w:color w:val="000000"/>
        </w:rPr>
      </w:pPr>
    </w:p>
    <w:p w14:paraId="08E117A7" w14:textId="77777777" w:rsidR="0070504F" w:rsidRDefault="0070504F" w:rsidP="0070504F">
      <w:pPr>
        <w:spacing w:line="240" w:lineRule="auto"/>
        <w:jc w:val="center"/>
        <w:rPr>
          <w:rFonts w:ascii="Times New Roman" w:eastAsia="Times New Roman" w:hAnsi="Times New Roman" w:cs="Times New Roman"/>
          <w:color w:val="000000"/>
        </w:rPr>
      </w:pPr>
    </w:p>
    <w:p w14:paraId="0C4A7152" w14:textId="6D4240A5" w:rsidR="0070504F" w:rsidRPr="0070504F" w:rsidRDefault="006473C9" w:rsidP="007050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 xml:space="preserve">Supplementary </w:t>
      </w:r>
      <w:r w:rsidR="0070504F" w:rsidRPr="0070504F">
        <w:rPr>
          <w:rFonts w:ascii="Times New Roman" w:eastAsia="Times New Roman" w:hAnsi="Times New Roman" w:cs="Times New Roman"/>
          <w:color w:val="000000"/>
        </w:rPr>
        <w:t xml:space="preserve">Table </w:t>
      </w:r>
      <w:r>
        <w:rPr>
          <w:rFonts w:ascii="Times New Roman" w:eastAsia="Times New Roman" w:hAnsi="Times New Roman" w:cs="Times New Roman"/>
          <w:color w:val="000000"/>
        </w:rPr>
        <w:t>1</w:t>
      </w:r>
      <w:r w:rsidR="0070504F" w:rsidRPr="0070504F">
        <w:rPr>
          <w:rFonts w:ascii="Times New Roman" w:eastAsia="Times New Roman" w:hAnsi="Times New Roman" w:cs="Times New Roman"/>
          <w:color w:val="000000"/>
        </w:rPr>
        <w:t>. List of reviewed journal articles </w:t>
      </w:r>
    </w:p>
    <w:tbl>
      <w:tblPr>
        <w:tblW w:w="0" w:type="auto"/>
        <w:tblCellMar>
          <w:top w:w="15" w:type="dxa"/>
          <w:left w:w="15" w:type="dxa"/>
          <w:bottom w:w="15" w:type="dxa"/>
          <w:right w:w="15" w:type="dxa"/>
        </w:tblCellMar>
        <w:tblLook w:val="04A0" w:firstRow="1" w:lastRow="0" w:firstColumn="1" w:lastColumn="0" w:noHBand="0" w:noVBand="1"/>
      </w:tblPr>
      <w:tblGrid>
        <w:gridCol w:w="640"/>
        <w:gridCol w:w="640"/>
        <w:gridCol w:w="6557"/>
        <w:gridCol w:w="1503"/>
      </w:tblGrid>
      <w:tr w:rsidR="0070504F" w:rsidRPr="0070504F" w14:paraId="2C81D135" w14:textId="77777777" w:rsidTr="0070504F">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A1548" w14:textId="77777777" w:rsidR="0070504F" w:rsidRPr="0070504F" w:rsidRDefault="0070504F"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b/>
                <w:bCs/>
                <w:color w:val="000000"/>
              </w:rPr>
              <w:t>Ref. </w:t>
            </w:r>
          </w:p>
          <w:p w14:paraId="153F315E" w14:textId="77777777" w:rsidR="0070504F" w:rsidRPr="0070504F" w:rsidRDefault="0070504F"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b/>
                <w:bCs/>
                <w:color w:val="000000"/>
              </w:rPr>
              <w:t>No.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59E31" w14:textId="77777777" w:rsidR="0070504F" w:rsidRPr="0070504F" w:rsidRDefault="0070504F"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b/>
                <w:bCs/>
                <w:color w:val="000000"/>
              </w:rPr>
              <w:t>Ref.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29CBC" w14:textId="77777777" w:rsidR="0070504F" w:rsidRPr="0070504F" w:rsidRDefault="0070504F"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b/>
                <w:bCs/>
                <w:color w:val="000000"/>
              </w:rPr>
              <w:t>Topic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3B775" w14:textId="77777777" w:rsidR="0070504F" w:rsidRPr="0070504F" w:rsidRDefault="0070504F"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b/>
                <w:bCs/>
                <w:color w:val="000000"/>
              </w:rPr>
              <w:t>Category</w:t>
            </w:r>
          </w:p>
        </w:tc>
      </w:tr>
      <w:tr w:rsidR="0070504F" w:rsidRPr="0070504F" w14:paraId="693C28A1" w14:textId="77777777" w:rsidTr="0070504F">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39F98" w14:textId="77777777" w:rsidR="0070504F" w:rsidRPr="0070504F" w:rsidRDefault="0070504F"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E4CAE" w14:textId="7EBE2491" w:rsidR="0070504F" w:rsidRPr="0070504F" w:rsidRDefault="0070504F" w:rsidP="0070504F">
            <w:pPr>
              <w:spacing w:after="0" w:line="240" w:lineRule="auto"/>
              <w:rPr>
                <w:rFonts w:ascii="Times New Roman" w:eastAsia="Times New Roman" w:hAnsi="Times New Roman" w:cs="Times New Roman"/>
                <w:sz w:val="24"/>
                <w:szCs w:val="24"/>
              </w:rPr>
            </w:pPr>
            <w:r w:rsidRPr="0070504F">
              <w:rPr>
                <w:rFonts w:ascii="Roboto" w:eastAsia="Times New Roman" w:hAnsi="Roboto" w:cs="Times New Roman"/>
                <w:color w:val="3C4043"/>
                <w:sz w:val="21"/>
                <w:szCs w:val="21"/>
                <w:shd w:val="clear" w:color="auto" w:fill="FFFFFF"/>
              </w:rPr>
              <w:t>[</w:t>
            </w:r>
            <w:r w:rsidR="005F34D5">
              <w:rPr>
                <w:rFonts w:ascii="Roboto" w:eastAsia="Times New Roman" w:hAnsi="Roboto" w:cs="Times New Roman"/>
                <w:color w:val="3C4043"/>
                <w:sz w:val="21"/>
                <w:szCs w:val="21"/>
                <w:shd w:val="clear" w:color="auto" w:fill="FFFFFF"/>
              </w:rPr>
              <w:t>35</w:t>
            </w:r>
            <w:r w:rsidRPr="0070504F">
              <w:rPr>
                <w:rFonts w:ascii="Roboto" w:eastAsia="Times New Roman" w:hAnsi="Roboto" w:cs="Times New Roman"/>
                <w:color w:val="3C4043"/>
                <w:sz w:val="21"/>
                <w:szCs w:val="21"/>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08D79" w14:textId="77777777" w:rsidR="0070504F" w:rsidRPr="0070504F" w:rsidRDefault="0070504F"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Establishing a National Medical Device Registry in Saudi Arabia: Lessons Learned and Future Work</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021C4" w14:textId="77777777" w:rsidR="0070504F" w:rsidRPr="0070504F" w:rsidRDefault="0070504F"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Medical device registry</w:t>
            </w:r>
          </w:p>
        </w:tc>
      </w:tr>
      <w:tr w:rsidR="0070504F" w:rsidRPr="0070504F" w14:paraId="68C348EF" w14:textId="77777777" w:rsidTr="0070504F">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F8CD1" w14:textId="77777777" w:rsidR="0070504F" w:rsidRPr="0070504F" w:rsidRDefault="0070504F"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A1015" w14:textId="4A6E9208" w:rsidR="0070504F" w:rsidRPr="0070504F" w:rsidRDefault="0070504F" w:rsidP="0070504F">
            <w:pPr>
              <w:spacing w:after="0" w:line="240" w:lineRule="auto"/>
              <w:rPr>
                <w:rFonts w:ascii="Times New Roman" w:eastAsia="Times New Roman" w:hAnsi="Times New Roman" w:cs="Times New Roman"/>
                <w:sz w:val="24"/>
                <w:szCs w:val="24"/>
              </w:rPr>
            </w:pPr>
            <w:r w:rsidRPr="0070504F">
              <w:rPr>
                <w:rFonts w:ascii="Roboto" w:eastAsia="Times New Roman" w:hAnsi="Roboto" w:cs="Times New Roman"/>
                <w:color w:val="3C4043"/>
                <w:sz w:val="21"/>
                <w:szCs w:val="21"/>
                <w:shd w:val="clear" w:color="auto" w:fill="FFFFFF"/>
              </w:rPr>
              <w:t>[</w:t>
            </w:r>
            <w:r w:rsidR="005F34D5">
              <w:rPr>
                <w:rFonts w:ascii="Roboto" w:eastAsia="Times New Roman" w:hAnsi="Roboto" w:cs="Times New Roman"/>
                <w:color w:val="3C4043"/>
                <w:sz w:val="21"/>
                <w:szCs w:val="21"/>
                <w:shd w:val="clear" w:color="auto" w:fill="FFFFFF"/>
              </w:rPr>
              <w:t>36</w:t>
            </w:r>
            <w:r w:rsidRPr="0070504F">
              <w:rPr>
                <w:rFonts w:ascii="Roboto" w:eastAsia="Times New Roman" w:hAnsi="Roboto" w:cs="Times New Roman"/>
                <w:color w:val="3C4043"/>
                <w:sz w:val="21"/>
                <w:szCs w:val="21"/>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7CD85" w14:textId="77777777" w:rsidR="0070504F" w:rsidRPr="0070504F" w:rsidRDefault="0070504F"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Research methodology and practical issues relating to the conduct of a medical device registry</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A443A0" w14:textId="77777777" w:rsidR="0070504F" w:rsidRPr="0070504F" w:rsidRDefault="0070504F" w:rsidP="0070504F">
            <w:pPr>
              <w:spacing w:after="0" w:line="240" w:lineRule="auto"/>
              <w:rPr>
                <w:rFonts w:ascii="Times New Roman" w:eastAsia="Times New Roman" w:hAnsi="Times New Roman" w:cs="Times New Roman"/>
                <w:sz w:val="24"/>
                <w:szCs w:val="24"/>
              </w:rPr>
            </w:pPr>
          </w:p>
        </w:tc>
      </w:tr>
      <w:tr w:rsidR="0070504F" w:rsidRPr="0070504F" w14:paraId="3EE3819E" w14:textId="77777777" w:rsidTr="0070504F">
        <w:trPr>
          <w:trHeight w:val="9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1E3C0" w14:textId="77777777" w:rsidR="0070504F" w:rsidRPr="0070504F" w:rsidRDefault="0070504F"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AF7F1" w14:textId="05EE4BD4" w:rsidR="0070504F" w:rsidRPr="0070504F" w:rsidRDefault="0070504F" w:rsidP="0070504F">
            <w:pPr>
              <w:spacing w:after="0" w:line="240" w:lineRule="auto"/>
              <w:rPr>
                <w:rFonts w:ascii="Times New Roman" w:eastAsia="Times New Roman" w:hAnsi="Times New Roman" w:cs="Times New Roman"/>
                <w:sz w:val="24"/>
                <w:szCs w:val="24"/>
              </w:rPr>
            </w:pPr>
            <w:r w:rsidRPr="0070504F">
              <w:rPr>
                <w:rFonts w:ascii="Roboto" w:eastAsia="Times New Roman" w:hAnsi="Roboto" w:cs="Times New Roman"/>
                <w:color w:val="3C4043"/>
                <w:sz w:val="21"/>
                <w:szCs w:val="21"/>
                <w:shd w:val="clear" w:color="auto" w:fill="FFFFFF"/>
              </w:rPr>
              <w:t>[3</w:t>
            </w:r>
            <w:r w:rsidR="005F34D5">
              <w:rPr>
                <w:rFonts w:ascii="Roboto" w:eastAsia="Times New Roman" w:hAnsi="Roboto" w:cs="Times New Roman"/>
                <w:color w:val="3C4043"/>
                <w:sz w:val="21"/>
                <w:szCs w:val="21"/>
                <w:shd w:val="clear" w:color="auto" w:fill="FFFFFF"/>
              </w:rPr>
              <w:t>7</w:t>
            </w:r>
            <w:r w:rsidRPr="0070504F">
              <w:rPr>
                <w:rFonts w:ascii="Roboto" w:eastAsia="Times New Roman" w:hAnsi="Roboto" w:cs="Times New Roman"/>
                <w:color w:val="3C4043"/>
                <w:sz w:val="21"/>
                <w:szCs w:val="21"/>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6C56B" w14:textId="77777777" w:rsidR="0070504F" w:rsidRPr="0070504F" w:rsidRDefault="0070504F"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Informed consent and compulsory medical device registries: ethics and opportunities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F09728" w14:textId="77777777" w:rsidR="0070504F" w:rsidRPr="0070504F" w:rsidRDefault="0070504F" w:rsidP="0070504F">
            <w:pPr>
              <w:spacing w:after="0" w:line="240" w:lineRule="auto"/>
              <w:rPr>
                <w:rFonts w:ascii="Times New Roman" w:eastAsia="Times New Roman" w:hAnsi="Times New Roman" w:cs="Times New Roman"/>
                <w:sz w:val="24"/>
                <w:szCs w:val="24"/>
              </w:rPr>
            </w:pPr>
          </w:p>
        </w:tc>
      </w:tr>
      <w:tr w:rsidR="005F34D5" w:rsidRPr="0070504F" w14:paraId="0E373E15" w14:textId="77777777" w:rsidTr="00CA46E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06B0F"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7DE0F" w14:textId="6AF4D07D"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Roboto" w:eastAsia="Times New Roman" w:hAnsi="Roboto" w:cs="Times New Roman"/>
                <w:color w:val="3C4043"/>
                <w:sz w:val="21"/>
                <w:szCs w:val="21"/>
                <w:shd w:val="clear" w:color="auto" w:fill="FFFFFF"/>
              </w:rPr>
              <w:t>[</w:t>
            </w:r>
            <w:r>
              <w:rPr>
                <w:rFonts w:ascii="Roboto" w:eastAsia="Times New Roman" w:hAnsi="Roboto" w:cs="Times New Roman"/>
                <w:color w:val="3C4043"/>
                <w:sz w:val="21"/>
                <w:szCs w:val="21"/>
                <w:shd w:val="clear" w:color="auto" w:fill="FFFFFF"/>
              </w:rPr>
              <w:t>52</w:t>
            </w:r>
            <w:r w:rsidRPr="0070504F">
              <w:rPr>
                <w:rFonts w:ascii="Roboto" w:eastAsia="Times New Roman" w:hAnsi="Roboto" w:cs="Times New Roman"/>
                <w:color w:val="3C4043"/>
                <w:sz w:val="21"/>
                <w:szCs w:val="21"/>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EEDD2"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Implementing the new European Regulations on medical devices-clinical responsibilities for evidence-based practice: a report from the Regulatory Affairs Committee of the European Society of Cardiology</w:t>
            </w:r>
          </w:p>
        </w:tc>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7965B3E"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Adverse event reporting</w:t>
            </w:r>
          </w:p>
        </w:tc>
      </w:tr>
      <w:tr w:rsidR="005F34D5" w:rsidRPr="0070504F" w14:paraId="07870D99" w14:textId="77777777" w:rsidTr="00CA46E0">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555F6"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FB041" w14:textId="5F8E50A1"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Roboto" w:eastAsia="Times New Roman" w:hAnsi="Roboto" w:cs="Times New Roman"/>
                <w:color w:val="3C4043"/>
                <w:sz w:val="21"/>
                <w:szCs w:val="21"/>
                <w:shd w:val="clear" w:color="auto" w:fill="FFFFFF"/>
              </w:rPr>
              <w:t>[</w:t>
            </w:r>
            <w:r>
              <w:rPr>
                <w:rFonts w:ascii="Roboto" w:eastAsia="Times New Roman" w:hAnsi="Roboto" w:cs="Times New Roman"/>
                <w:color w:val="3C4043"/>
                <w:sz w:val="21"/>
                <w:szCs w:val="21"/>
                <w:shd w:val="clear" w:color="auto" w:fill="FFFFFF"/>
              </w:rPr>
              <w:t>53</w:t>
            </w:r>
            <w:r w:rsidRPr="0070504F">
              <w:rPr>
                <w:rFonts w:ascii="Roboto" w:eastAsia="Times New Roman" w:hAnsi="Roboto" w:cs="Times New Roman"/>
                <w:color w:val="3C4043"/>
                <w:sz w:val="21"/>
                <w:szCs w:val="21"/>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9B169"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Regulation and safe adoption of new medical devices and procedures</w:t>
            </w:r>
          </w:p>
        </w:tc>
        <w:tc>
          <w:tcPr>
            <w:tcW w:w="0" w:type="auto"/>
            <w:vMerge/>
            <w:tcBorders>
              <w:left w:val="single" w:sz="8" w:space="0" w:color="000000"/>
              <w:right w:val="single" w:sz="8" w:space="0" w:color="000000"/>
            </w:tcBorders>
            <w:vAlign w:val="center"/>
            <w:hideMark/>
          </w:tcPr>
          <w:p w14:paraId="7707F676" w14:textId="77777777" w:rsidR="005F34D5" w:rsidRPr="0070504F" w:rsidRDefault="005F34D5" w:rsidP="0070504F">
            <w:pPr>
              <w:spacing w:after="0" w:line="240" w:lineRule="auto"/>
              <w:rPr>
                <w:rFonts w:ascii="Times New Roman" w:eastAsia="Times New Roman" w:hAnsi="Times New Roman" w:cs="Times New Roman"/>
                <w:sz w:val="24"/>
                <w:szCs w:val="24"/>
              </w:rPr>
            </w:pPr>
          </w:p>
        </w:tc>
      </w:tr>
      <w:tr w:rsidR="005F34D5" w:rsidRPr="0070504F" w14:paraId="7F45C9C0" w14:textId="77777777" w:rsidTr="00CA46E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15C74"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4BEFC" w14:textId="2917ED3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Roboto" w:eastAsia="Times New Roman" w:hAnsi="Roboto" w:cs="Times New Roman"/>
                <w:color w:val="3C4043"/>
                <w:sz w:val="21"/>
                <w:szCs w:val="21"/>
                <w:shd w:val="clear" w:color="auto" w:fill="FFFFFF"/>
              </w:rPr>
              <w:t>[</w:t>
            </w:r>
            <w:r>
              <w:rPr>
                <w:rFonts w:ascii="Roboto" w:eastAsia="Times New Roman" w:hAnsi="Roboto" w:cs="Times New Roman"/>
                <w:color w:val="3C4043"/>
                <w:sz w:val="21"/>
                <w:szCs w:val="21"/>
                <w:shd w:val="clear" w:color="auto" w:fill="FFFFFF"/>
              </w:rPr>
              <w:t>54</w:t>
            </w:r>
            <w:r w:rsidRPr="0070504F">
              <w:rPr>
                <w:rFonts w:ascii="Roboto" w:eastAsia="Times New Roman" w:hAnsi="Roboto" w:cs="Times New Roman"/>
                <w:color w:val="3C4043"/>
                <w:sz w:val="21"/>
                <w:szCs w:val="21"/>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F9228"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Reporter's occupation and source of adverse device event reports contained in the FDA's MAUDE database</w:t>
            </w:r>
          </w:p>
        </w:tc>
        <w:tc>
          <w:tcPr>
            <w:tcW w:w="0" w:type="auto"/>
            <w:vMerge/>
            <w:tcBorders>
              <w:left w:val="single" w:sz="8" w:space="0" w:color="000000"/>
              <w:bottom w:val="single" w:sz="8" w:space="0" w:color="000000"/>
              <w:right w:val="single" w:sz="8" w:space="0" w:color="000000"/>
            </w:tcBorders>
            <w:vAlign w:val="center"/>
            <w:hideMark/>
          </w:tcPr>
          <w:p w14:paraId="2C16BC62" w14:textId="77777777" w:rsidR="005F34D5" w:rsidRPr="0070504F" w:rsidRDefault="005F34D5" w:rsidP="0070504F">
            <w:pPr>
              <w:spacing w:after="0" w:line="240" w:lineRule="auto"/>
              <w:rPr>
                <w:rFonts w:ascii="Times New Roman" w:eastAsia="Times New Roman" w:hAnsi="Times New Roman" w:cs="Times New Roman"/>
                <w:sz w:val="24"/>
                <w:szCs w:val="24"/>
              </w:rPr>
            </w:pPr>
          </w:p>
        </w:tc>
      </w:tr>
      <w:tr w:rsidR="005F34D5" w:rsidRPr="0070504F" w14:paraId="25D7659F" w14:textId="77777777" w:rsidTr="000325E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9B5E6"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408CE" w14:textId="289C3111"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w:t>
            </w:r>
            <w:r>
              <w:rPr>
                <w:rFonts w:ascii="Times New Roman" w:eastAsia="Times New Roman" w:hAnsi="Times New Roman" w:cs="Times New Roman"/>
                <w:color w:val="000000"/>
              </w:rPr>
              <w:t>55</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28EEB"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 xml:space="preserve">The data extraction and longitudinal trend analysis network study of distributed automated </w:t>
            </w:r>
            <w:proofErr w:type="spellStart"/>
            <w:r w:rsidRPr="0070504F">
              <w:rPr>
                <w:rFonts w:ascii="Times New Roman" w:eastAsia="Times New Roman" w:hAnsi="Times New Roman" w:cs="Times New Roman"/>
                <w:color w:val="000000"/>
              </w:rPr>
              <w:t>postmarket</w:t>
            </w:r>
            <w:proofErr w:type="spellEnd"/>
            <w:r w:rsidRPr="0070504F">
              <w:rPr>
                <w:rFonts w:ascii="Times New Roman" w:eastAsia="Times New Roman" w:hAnsi="Times New Roman" w:cs="Times New Roman"/>
                <w:color w:val="000000"/>
              </w:rPr>
              <w:t xml:space="preserve"> cardiovascular device safety surveillance</w:t>
            </w:r>
          </w:p>
        </w:tc>
        <w:tc>
          <w:tcPr>
            <w:tcW w:w="0" w:type="auto"/>
            <w:vMerge w:val="restart"/>
            <w:tcBorders>
              <w:top w:val="single" w:sz="8" w:space="0" w:color="000000"/>
              <w:left w:val="single" w:sz="8" w:space="0" w:color="000000"/>
              <w:right w:val="single" w:sz="8" w:space="0" w:color="000000"/>
            </w:tcBorders>
            <w:vAlign w:val="center"/>
            <w:hideMark/>
          </w:tcPr>
          <w:p w14:paraId="72619D2B" w14:textId="441F784E"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Performance evaluation</w:t>
            </w:r>
          </w:p>
        </w:tc>
      </w:tr>
      <w:tr w:rsidR="005F34D5" w:rsidRPr="0070504F" w14:paraId="296C87B2" w14:textId="77777777" w:rsidTr="000325E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246EC"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7B47B" w14:textId="1CF3A065"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w:t>
            </w:r>
            <w:r>
              <w:rPr>
                <w:rFonts w:ascii="Times New Roman" w:eastAsia="Times New Roman" w:hAnsi="Times New Roman" w:cs="Times New Roman"/>
                <w:color w:val="000000"/>
              </w:rPr>
              <w:t>56</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3D056"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Post-market clinical research conducted by medical device manufacturers: a cross-sectional survey</w:t>
            </w:r>
          </w:p>
        </w:tc>
        <w:tc>
          <w:tcPr>
            <w:tcW w:w="0" w:type="auto"/>
            <w:vMerge/>
            <w:tcBorders>
              <w:left w:val="single" w:sz="8" w:space="0" w:color="000000"/>
              <w:right w:val="single" w:sz="8" w:space="0" w:color="000000"/>
            </w:tcBorders>
            <w:vAlign w:val="center"/>
            <w:hideMark/>
          </w:tcPr>
          <w:p w14:paraId="6FBC649B" w14:textId="508CC99D" w:rsidR="005F34D5" w:rsidRPr="0070504F" w:rsidRDefault="005F34D5" w:rsidP="0070504F">
            <w:pPr>
              <w:spacing w:after="0" w:line="240" w:lineRule="auto"/>
              <w:rPr>
                <w:rFonts w:ascii="Times New Roman" w:eastAsia="Times New Roman" w:hAnsi="Times New Roman" w:cs="Times New Roman"/>
                <w:sz w:val="24"/>
                <w:szCs w:val="24"/>
              </w:rPr>
            </w:pPr>
          </w:p>
        </w:tc>
      </w:tr>
      <w:tr w:rsidR="005F34D5" w:rsidRPr="0070504F" w14:paraId="53344FCC" w14:textId="77777777" w:rsidTr="000325E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E7508"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C84AE" w14:textId="12A98FC4"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[5</w:t>
            </w:r>
            <w:r>
              <w:rPr>
                <w:rFonts w:ascii="Times New Roman" w:eastAsia="Times New Roman" w:hAnsi="Times New Roman" w:cs="Times New Roman"/>
                <w:color w:val="000000"/>
              </w:rPr>
              <w:t>7</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AD9B5" w14:textId="224961B8" w:rsidR="005F34D5" w:rsidRPr="005F34D5" w:rsidRDefault="005F34D5" w:rsidP="0070504F">
            <w:pPr>
              <w:spacing w:after="0" w:line="240" w:lineRule="auto"/>
              <w:rPr>
                <w:rFonts w:ascii="Times New Roman" w:eastAsia="Times New Roman" w:hAnsi="Times New Roman" w:cs="Times New Roman"/>
                <w:color w:val="000000"/>
              </w:rPr>
            </w:pPr>
            <w:r w:rsidRPr="0070504F">
              <w:rPr>
                <w:rFonts w:ascii="Times New Roman" w:eastAsia="Times New Roman" w:hAnsi="Times New Roman" w:cs="Times New Roman"/>
                <w:color w:val="000000"/>
              </w:rPr>
              <w:t>Improving the Methods for the Economic Evaluation of Medical Devices</w:t>
            </w:r>
            <w:r w:rsidRPr="0070504F">
              <w:rPr>
                <w:rFonts w:ascii="Times New Roman" w:eastAsia="Times New Roman" w:hAnsi="Times New Roman" w:cs="Times New Roman"/>
                <w:color w:val="000000"/>
              </w:rPr>
              <w:t xml:space="preserve"> </w:t>
            </w:r>
          </w:p>
        </w:tc>
        <w:tc>
          <w:tcPr>
            <w:tcW w:w="0" w:type="auto"/>
            <w:vMerge/>
            <w:tcBorders>
              <w:left w:val="single" w:sz="8" w:space="0" w:color="000000"/>
              <w:right w:val="single" w:sz="8" w:space="0" w:color="000000"/>
            </w:tcBorders>
            <w:vAlign w:val="center"/>
            <w:hideMark/>
          </w:tcPr>
          <w:p w14:paraId="1DFECE12" w14:textId="20CBDBA3" w:rsidR="005F34D5" w:rsidRPr="0070504F" w:rsidRDefault="005F34D5" w:rsidP="0070504F">
            <w:pPr>
              <w:spacing w:after="0" w:line="240" w:lineRule="auto"/>
              <w:rPr>
                <w:rFonts w:ascii="Times New Roman" w:eastAsia="Times New Roman" w:hAnsi="Times New Roman" w:cs="Times New Roman"/>
                <w:sz w:val="24"/>
                <w:szCs w:val="24"/>
              </w:rPr>
            </w:pPr>
          </w:p>
        </w:tc>
      </w:tr>
      <w:tr w:rsidR="005F34D5" w:rsidRPr="0070504F" w14:paraId="38F77402" w14:textId="77777777" w:rsidTr="000325E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614FC"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FD326" w14:textId="3DECA01A"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[5</w:t>
            </w:r>
            <w:r>
              <w:rPr>
                <w:rFonts w:ascii="Times New Roman" w:eastAsia="Times New Roman" w:hAnsi="Times New Roman" w:cs="Times New Roman"/>
                <w:color w:val="000000"/>
              </w:rPr>
              <w:t>8</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43D35" w14:textId="74368856"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 xml:space="preserve">Security and privacy qualities of medical devices: an analysis of FDA </w:t>
            </w:r>
            <w:proofErr w:type="spellStart"/>
            <w:r w:rsidRPr="0070504F">
              <w:rPr>
                <w:rFonts w:ascii="Times New Roman" w:eastAsia="Times New Roman" w:hAnsi="Times New Roman" w:cs="Times New Roman"/>
                <w:color w:val="000000"/>
              </w:rPr>
              <w:t>postmarket</w:t>
            </w:r>
            <w:proofErr w:type="spellEnd"/>
            <w:r w:rsidRPr="0070504F">
              <w:rPr>
                <w:rFonts w:ascii="Times New Roman" w:eastAsia="Times New Roman" w:hAnsi="Times New Roman" w:cs="Times New Roman"/>
                <w:color w:val="000000"/>
              </w:rPr>
              <w:t xml:space="preserve"> surveillance</w:t>
            </w:r>
          </w:p>
        </w:tc>
        <w:tc>
          <w:tcPr>
            <w:tcW w:w="0" w:type="auto"/>
            <w:vMerge/>
            <w:tcBorders>
              <w:left w:val="single" w:sz="8" w:space="0" w:color="000000"/>
              <w:right w:val="single" w:sz="8" w:space="0" w:color="000000"/>
            </w:tcBorders>
            <w:vAlign w:val="center"/>
            <w:hideMark/>
          </w:tcPr>
          <w:p w14:paraId="4A7D0361" w14:textId="0AAF1209" w:rsidR="005F34D5" w:rsidRPr="0070504F" w:rsidRDefault="005F34D5" w:rsidP="0070504F">
            <w:pPr>
              <w:spacing w:after="0" w:line="240" w:lineRule="auto"/>
              <w:rPr>
                <w:rFonts w:ascii="Times New Roman" w:eastAsia="Times New Roman" w:hAnsi="Times New Roman" w:cs="Times New Roman"/>
                <w:sz w:val="24"/>
                <w:szCs w:val="24"/>
              </w:rPr>
            </w:pPr>
          </w:p>
        </w:tc>
      </w:tr>
      <w:tr w:rsidR="005F34D5" w:rsidRPr="0070504F" w14:paraId="7D5B7E18" w14:textId="77777777" w:rsidTr="000325E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A4D6B"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8A96F" w14:textId="537B597B"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Roboto" w:eastAsia="Times New Roman" w:hAnsi="Roboto" w:cs="Times New Roman"/>
                <w:color w:val="3C4043"/>
                <w:sz w:val="21"/>
                <w:szCs w:val="21"/>
                <w:shd w:val="clear" w:color="auto" w:fill="FFFFFF"/>
              </w:rPr>
              <w:t>[</w:t>
            </w:r>
            <w:r>
              <w:rPr>
                <w:rFonts w:ascii="Roboto" w:eastAsia="Times New Roman" w:hAnsi="Roboto" w:cs="Times New Roman"/>
                <w:color w:val="3C4043"/>
                <w:sz w:val="21"/>
                <w:szCs w:val="21"/>
                <w:shd w:val="clear" w:color="auto" w:fill="FFFFFF"/>
              </w:rPr>
              <w:t>59</w:t>
            </w:r>
            <w:r w:rsidRPr="0070504F">
              <w:rPr>
                <w:rFonts w:ascii="Roboto" w:eastAsia="Times New Roman" w:hAnsi="Roboto" w:cs="Times New Roman"/>
                <w:color w:val="3C4043"/>
                <w:sz w:val="21"/>
                <w:szCs w:val="21"/>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8DD91" w14:textId="368D3597" w:rsidR="005F34D5" w:rsidRPr="005F34D5" w:rsidRDefault="005F34D5" w:rsidP="0070504F">
            <w:pPr>
              <w:spacing w:after="0" w:line="240" w:lineRule="auto"/>
              <w:rPr>
                <w:rFonts w:ascii="Times New Roman" w:eastAsia="Times New Roman" w:hAnsi="Times New Roman" w:cs="Times New Roman"/>
                <w:color w:val="000000"/>
              </w:rPr>
            </w:pPr>
            <w:r w:rsidRPr="0070504F">
              <w:rPr>
                <w:rFonts w:ascii="Times New Roman" w:eastAsia="Times New Roman" w:hAnsi="Times New Roman" w:cs="Times New Roman"/>
                <w:color w:val="000000"/>
              </w:rPr>
              <w:t>Testing of mechanical ventilators and infant incubators in healthcare institutions</w:t>
            </w:r>
            <w:r w:rsidRPr="0070504F">
              <w:rPr>
                <w:rFonts w:ascii="Times New Roman" w:eastAsia="Times New Roman" w:hAnsi="Times New Roman" w:cs="Times New Roman"/>
                <w:color w:val="000000"/>
              </w:rPr>
              <w:t xml:space="preserve"> </w:t>
            </w:r>
          </w:p>
        </w:tc>
        <w:tc>
          <w:tcPr>
            <w:tcW w:w="0" w:type="auto"/>
            <w:vMerge/>
            <w:tcBorders>
              <w:left w:val="single" w:sz="8" w:space="0" w:color="000000"/>
              <w:right w:val="single" w:sz="8" w:space="0" w:color="000000"/>
            </w:tcBorders>
            <w:vAlign w:val="center"/>
            <w:hideMark/>
          </w:tcPr>
          <w:p w14:paraId="4818E023" w14:textId="3A41B18D" w:rsidR="005F34D5" w:rsidRPr="0070504F" w:rsidRDefault="005F34D5" w:rsidP="0070504F">
            <w:pPr>
              <w:spacing w:after="0" w:line="240" w:lineRule="auto"/>
              <w:rPr>
                <w:rFonts w:ascii="Times New Roman" w:eastAsia="Times New Roman" w:hAnsi="Times New Roman" w:cs="Times New Roman"/>
                <w:sz w:val="24"/>
                <w:szCs w:val="24"/>
              </w:rPr>
            </w:pPr>
          </w:p>
        </w:tc>
      </w:tr>
      <w:tr w:rsidR="005F34D5" w:rsidRPr="0070504F" w14:paraId="03A62F8C" w14:textId="77777777" w:rsidTr="000325E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167B0"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3A646" w14:textId="6C2F5114"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w:t>
            </w:r>
            <w:r>
              <w:rPr>
                <w:rFonts w:ascii="Times New Roman" w:eastAsia="Times New Roman" w:hAnsi="Times New Roman" w:cs="Times New Roman"/>
                <w:color w:val="000000"/>
              </w:rPr>
              <w:t>60</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EB561" w14:textId="31E66BA7" w:rsidR="005F34D5" w:rsidRPr="005F34D5" w:rsidRDefault="005F34D5" w:rsidP="0070504F">
            <w:pPr>
              <w:spacing w:after="0" w:line="240" w:lineRule="auto"/>
              <w:rPr>
                <w:rFonts w:ascii="Times New Roman" w:eastAsia="Times New Roman" w:hAnsi="Times New Roman" w:cs="Times New Roman"/>
                <w:color w:val="000000"/>
              </w:rPr>
            </w:pPr>
            <w:r w:rsidRPr="0070504F">
              <w:rPr>
                <w:rFonts w:ascii="Times New Roman" w:eastAsia="Times New Roman" w:hAnsi="Times New Roman" w:cs="Times New Roman"/>
                <w:color w:val="000000"/>
              </w:rPr>
              <w:t>Testing of anesthesia machines and defibrillators in healthcare institutions in Bosnia and Herzegovina</w:t>
            </w:r>
            <w:r w:rsidRPr="0070504F">
              <w:rPr>
                <w:rFonts w:ascii="Times New Roman" w:eastAsia="Times New Roman" w:hAnsi="Times New Roman" w:cs="Times New Roman"/>
                <w:color w:val="000000"/>
              </w:rPr>
              <w:t xml:space="preserve"> </w:t>
            </w:r>
          </w:p>
        </w:tc>
        <w:tc>
          <w:tcPr>
            <w:tcW w:w="0" w:type="auto"/>
            <w:vMerge/>
            <w:tcBorders>
              <w:left w:val="single" w:sz="8" w:space="0" w:color="000000"/>
              <w:right w:val="single" w:sz="8" w:space="0" w:color="000000"/>
            </w:tcBorders>
            <w:tcMar>
              <w:top w:w="100" w:type="dxa"/>
              <w:left w:w="100" w:type="dxa"/>
              <w:bottom w:w="100" w:type="dxa"/>
              <w:right w:w="100" w:type="dxa"/>
            </w:tcMar>
            <w:hideMark/>
          </w:tcPr>
          <w:p w14:paraId="58C11DEF" w14:textId="3AA6008E" w:rsidR="005F34D5" w:rsidRPr="0070504F" w:rsidRDefault="005F34D5" w:rsidP="0070504F">
            <w:pPr>
              <w:spacing w:after="0" w:line="240" w:lineRule="auto"/>
              <w:rPr>
                <w:rFonts w:ascii="Times New Roman" w:eastAsia="Times New Roman" w:hAnsi="Times New Roman" w:cs="Times New Roman"/>
                <w:sz w:val="24"/>
                <w:szCs w:val="24"/>
              </w:rPr>
            </w:pPr>
          </w:p>
        </w:tc>
      </w:tr>
      <w:tr w:rsidR="005F34D5" w:rsidRPr="0070504F" w14:paraId="05BE4189" w14:textId="77777777" w:rsidTr="000325E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AB98C"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CDF5E" w14:textId="2DC2105E"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w:t>
            </w:r>
            <w:r>
              <w:rPr>
                <w:rFonts w:ascii="Times New Roman" w:eastAsia="Times New Roman" w:hAnsi="Times New Roman" w:cs="Times New Roman"/>
                <w:color w:val="000000"/>
              </w:rPr>
              <w:t>69</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1D2C5" w14:textId="1F3019CB" w:rsidR="005F34D5" w:rsidRPr="0070504F" w:rsidRDefault="005F34D5" w:rsidP="0070504F">
            <w:pPr>
              <w:spacing w:after="0" w:line="240" w:lineRule="auto"/>
              <w:rPr>
                <w:rFonts w:ascii="Times New Roman" w:eastAsia="Times New Roman" w:hAnsi="Times New Roman" w:cs="Times New Roman"/>
                <w:sz w:val="24"/>
                <w:szCs w:val="24"/>
              </w:rPr>
            </w:pPr>
            <w:r w:rsidRPr="005F34D5">
              <w:rPr>
                <w:rFonts w:ascii="Times New Roman" w:eastAsia="Times New Roman" w:hAnsi="Times New Roman" w:cs="Times New Roman"/>
                <w:sz w:val="24"/>
                <w:szCs w:val="24"/>
              </w:rPr>
              <w:t>The current situation and development of medical device testing institutes in China</w:t>
            </w:r>
          </w:p>
        </w:tc>
        <w:tc>
          <w:tcPr>
            <w:tcW w:w="0" w:type="auto"/>
            <w:vMerge/>
            <w:tcBorders>
              <w:left w:val="single" w:sz="8" w:space="0" w:color="000000"/>
              <w:right w:val="single" w:sz="8" w:space="0" w:color="000000"/>
            </w:tcBorders>
            <w:vAlign w:val="center"/>
            <w:hideMark/>
          </w:tcPr>
          <w:p w14:paraId="477F9D31" w14:textId="77777777" w:rsidR="005F34D5" w:rsidRPr="0070504F" w:rsidRDefault="005F34D5" w:rsidP="0070504F">
            <w:pPr>
              <w:spacing w:after="0" w:line="240" w:lineRule="auto"/>
              <w:rPr>
                <w:rFonts w:ascii="Times New Roman" w:eastAsia="Times New Roman" w:hAnsi="Times New Roman" w:cs="Times New Roman"/>
                <w:sz w:val="24"/>
                <w:szCs w:val="24"/>
              </w:rPr>
            </w:pPr>
          </w:p>
        </w:tc>
      </w:tr>
      <w:tr w:rsidR="005F34D5" w:rsidRPr="0070504F" w14:paraId="5407241D" w14:textId="77777777" w:rsidTr="000325E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4EB59"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5B994" w14:textId="6BE4C0A3"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w:t>
            </w:r>
            <w:r>
              <w:rPr>
                <w:rFonts w:ascii="Times New Roman" w:eastAsia="Times New Roman" w:hAnsi="Times New Roman" w:cs="Times New Roman"/>
                <w:color w:val="000000"/>
              </w:rPr>
              <w:t>75</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D5388" w14:textId="245F901E" w:rsidR="005F34D5" w:rsidRPr="0070504F" w:rsidRDefault="005F34D5" w:rsidP="0070504F">
            <w:pPr>
              <w:spacing w:after="0" w:line="240" w:lineRule="auto"/>
              <w:rPr>
                <w:rFonts w:ascii="Times New Roman" w:eastAsia="Times New Roman" w:hAnsi="Times New Roman" w:cs="Times New Roman"/>
                <w:sz w:val="24"/>
                <w:szCs w:val="24"/>
              </w:rPr>
            </w:pPr>
            <w:r w:rsidRPr="005F34D5">
              <w:rPr>
                <w:rFonts w:ascii="Times New Roman" w:eastAsia="Times New Roman" w:hAnsi="Times New Roman" w:cs="Times New Roman"/>
                <w:sz w:val="24"/>
                <w:szCs w:val="24"/>
              </w:rPr>
              <w:t>Prediction of medical device performance using machine learning techniques: infant incubator case study</w:t>
            </w:r>
          </w:p>
        </w:tc>
        <w:tc>
          <w:tcPr>
            <w:tcW w:w="0" w:type="auto"/>
            <w:vMerge/>
            <w:tcBorders>
              <w:left w:val="single" w:sz="8" w:space="0" w:color="000000"/>
              <w:right w:val="single" w:sz="8" w:space="0" w:color="000000"/>
            </w:tcBorders>
            <w:vAlign w:val="center"/>
            <w:hideMark/>
          </w:tcPr>
          <w:p w14:paraId="428A7068" w14:textId="77777777" w:rsidR="005F34D5" w:rsidRPr="0070504F" w:rsidRDefault="005F34D5" w:rsidP="0070504F">
            <w:pPr>
              <w:spacing w:after="0" w:line="240" w:lineRule="auto"/>
              <w:rPr>
                <w:rFonts w:ascii="Times New Roman" w:eastAsia="Times New Roman" w:hAnsi="Times New Roman" w:cs="Times New Roman"/>
                <w:sz w:val="24"/>
                <w:szCs w:val="24"/>
              </w:rPr>
            </w:pPr>
          </w:p>
        </w:tc>
      </w:tr>
      <w:tr w:rsidR="005F34D5" w:rsidRPr="0070504F" w14:paraId="3836AD97" w14:textId="77777777" w:rsidTr="000325E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160AD"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lastRenderedPageBreak/>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69528" w14:textId="4AAA260A"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[8</w:t>
            </w:r>
            <w:r w:rsidR="006473C9">
              <w:rPr>
                <w:rFonts w:ascii="Times New Roman" w:eastAsia="Times New Roman" w:hAnsi="Times New Roman" w:cs="Times New Roman"/>
                <w:color w:val="000000"/>
              </w:rPr>
              <w:t>0</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4DDDF" w14:textId="765E979C" w:rsidR="005F34D5" w:rsidRPr="006473C9" w:rsidRDefault="006473C9" w:rsidP="006473C9">
            <w:pPr>
              <w:pStyle w:val="Default"/>
              <w:rPr>
                <w:sz w:val="22"/>
                <w:szCs w:val="22"/>
              </w:rPr>
            </w:pPr>
            <w:r w:rsidRPr="006473C9">
              <w:rPr>
                <w:sz w:val="22"/>
                <w:szCs w:val="22"/>
              </w:rPr>
              <w:t>Testing of therapeutic ultrasound in healthcare institutions in Bosnia and Herzegovina</w:t>
            </w:r>
          </w:p>
        </w:tc>
        <w:tc>
          <w:tcPr>
            <w:tcW w:w="0" w:type="auto"/>
            <w:vMerge/>
            <w:tcBorders>
              <w:left w:val="single" w:sz="8" w:space="0" w:color="000000"/>
              <w:right w:val="single" w:sz="8" w:space="0" w:color="000000"/>
            </w:tcBorders>
            <w:vAlign w:val="center"/>
            <w:hideMark/>
          </w:tcPr>
          <w:p w14:paraId="50F092A5" w14:textId="77777777" w:rsidR="005F34D5" w:rsidRPr="0070504F" w:rsidRDefault="005F34D5" w:rsidP="0070504F">
            <w:pPr>
              <w:spacing w:after="0" w:line="240" w:lineRule="auto"/>
              <w:rPr>
                <w:rFonts w:ascii="Times New Roman" w:eastAsia="Times New Roman" w:hAnsi="Times New Roman" w:cs="Times New Roman"/>
                <w:sz w:val="24"/>
                <w:szCs w:val="24"/>
              </w:rPr>
            </w:pPr>
          </w:p>
        </w:tc>
      </w:tr>
      <w:tr w:rsidR="005F34D5" w:rsidRPr="0070504F" w14:paraId="36040C6C" w14:textId="77777777" w:rsidTr="000325E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E580B"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45DD6" w14:textId="7B413E0E"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[8</w:t>
            </w:r>
            <w:r w:rsidR="006473C9">
              <w:rPr>
                <w:rFonts w:ascii="Times New Roman" w:eastAsia="Times New Roman" w:hAnsi="Times New Roman" w:cs="Times New Roman"/>
                <w:color w:val="000000"/>
              </w:rPr>
              <w:t>4</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0AB4A" w14:textId="1DC39E6F" w:rsidR="005F34D5" w:rsidRPr="006473C9" w:rsidRDefault="006473C9" w:rsidP="0070504F">
            <w:pPr>
              <w:spacing w:after="0" w:line="240" w:lineRule="auto"/>
              <w:rPr>
                <w:rFonts w:ascii="Times New Roman" w:eastAsia="Times New Roman" w:hAnsi="Times New Roman" w:cs="Times New Roman"/>
                <w:color w:val="000000"/>
              </w:rPr>
            </w:pPr>
            <w:r w:rsidRPr="006473C9">
              <w:rPr>
                <w:rFonts w:ascii="Times New Roman" w:eastAsia="Times New Roman" w:hAnsi="Times New Roman" w:cs="Times New Roman"/>
                <w:color w:val="000000"/>
              </w:rPr>
              <w:t xml:space="preserve">EU post-market surveillance plans for medical devices. </w:t>
            </w:r>
          </w:p>
        </w:tc>
        <w:tc>
          <w:tcPr>
            <w:tcW w:w="0" w:type="auto"/>
            <w:vMerge/>
            <w:tcBorders>
              <w:left w:val="single" w:sz="8" w:space="0" w:color="000000"/>
              <w:right w:val="single" w:sz="8" w:space="0" w:color="000000"/>
            </w:tcBorders>
            <w:vAlign w:val="center"/>
            <w:hideMark/>
          </w:tcPr>
          <w:p w14:paraId="51F819D6" w14:textId="77777777" w:rsidR="005F34D5" w:rsidRPr="0070504F" w:rsidRDefault="005F34D5" w:rsidP="0070504F">
            <w:pPr>
              <w:spacing w:after="0" w:line="240" w:lineRule="auto"/>
              <w:rPr>
                <w:rFonts w:ascii="Times New Roman" w:eastAsia="Times New Roman" w:hAnsi="Times New Roman" w:cs="Times New Roman"/>
                <w:sz w:val="24"/>
                <w:szCs w:val="24"/>
              </w:rPr>
            </w:pPr>
          </w:p>
        </w:tc>
      </w:tr>
      <w:tr w:rsidR="005F34D5" w:rsidRPr="0070504F" w14:paraId="38E1362A" w14:textId="77777777" w:rsidTr="000325E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D515E"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75D97" w14:textId="0ADC570A"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[8</w:t>
            </w:r>
            <w:r w:rsidR="006473C9">
              <w:rPr>
                <w:rFonts w:ascii="Times New Roman" w:eastAsia="Times New Roman" w:hAnsi="Times New Roman" w:cs="Times New Roman"/>
                <w:color w:val="000000"/>
              </w:rPr>
              <w:t>5</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E268D" w14:textId="17844D66" w:rsidR="005F34D5" w:rsidRPr="006473C9" w:rsidRDefault="006473C9" w:rsidP="006473C9">
            <w:pPr>
              <w:pStyle w:val="Default"/>
              <w:rPr>
                <w:sz w:val="22"/>
                <w:szCs w:val="22"/>
              </w:rPr>
            </w:pPr>
            <w:r>
              <w:rPr>
                <w:sz w:val="22"/>
                <w:szCs w:val="22"/>
              </w:rPr>
              <w:t xml:space="preserve">Improved clinical investigation and evaluation of high-risk medical devices: the rationale and objectives of CORE-MD (Coordinating Research and Evidence for Medical Devices) </w:t>
            </w:r>
          </w:p>
        </w:tc>
        <w:tc>
          <w:tcPr>
            <w:tcW w:w="0" w:type="auto"/>
            <w:vMerge/>
            <w:tcBorders>
              <w:left w:val="single" w:sz="8" w:space="0" w:color="000000"/>
              <w:right w:val="single" w:sz="8" w:space="0" w:color="000000"/>
            </w:tcBorders>
            <w:vAlign w:val="center"/>
            <w:hideMark/>
          </w:tcPr>
          <w:p w14:paraId="4239A7A5" w14:textId="77777777" w:rsidR="005F34D5" w:rsidRPr="0070504F" w:rsidRDefault="005F34D5" w:rsidP="0070504F">
            <w:pPr>
              <w:spacing w:after="0" w:line="240" w:lineRule="auto"/>
              <w:rPr>
                <w:rFonts w:ascii="Times New Roman" w:eastAsia="Times New Roman" w:hAnsi="Times New Roman" w:cs="Times New Roman"/>
                <w:sz w:val="24"/>
                <w:szCs w:val="24"/>
              </w:rPr>
            </w:pPr>
          </w:p>
        </w:tc>
      </w:tr>
      <w:tr w:rsidR="005F34D5" w:rsidRPr="0070504F" w14:paraId="5E00C5CA" w14:textId="77777777" w:rsidTr="000325E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7BF34"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EEE7A" w14:textId="25950796"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[8</w:t>
            </w:r>
            <w:r w:rsidR="006473C9">
              <w:rPr>
                <w:rFonts w:ascii="Times New Roman" w:eastAsia="Times New Roman" w:hAnsi="Times New Roman" w:cs="Times New Roman"/>
                <w:color w:val="000000"/>
              </w:rPr>
              <w:t>6</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FAE31" w14:textId="6150DDFB" w:rsidR="005F34D5" w:rsidRPr="006473C9" w:rsidRDefault="006473C9" w:rsidP="006473C9">
            <w:pPr>
              <w:pStyle w:val="Default"/>
              <w:rPr>
                <w:sz w:val="22"/>
                <w:szCs w:val="22"/>
              </w:rPr>
            </w:pPr>
            <w:r>
              <w:rPr>
                <w:sz w:val="22"/>
                <w:szCs w:val="22"/>
              </w:rPr>
              <w:t>A</w:t>
            </w:r>
            <w:r>
              <w:rPr>
                <w:sz w:val="22"/>
                <w:szCs w:val="22"/>
              </w:rPr>
              <w:t xml:space="preserve"> Comprehensive Analysis of </w:t>
            </w:r>
            <w:proofErr w:type="spellStart"/>
            <w:r>
              <w:rPr>
                <w:sz w:val="22"/>
                <w:szCs w:val="22"/>
              </w:rPr>
              <w:t>Postmarket</w:t>
            </w:r>
            <w:proofErr w:type="spellEnd"/>
            <w:r>
              <w:rPr>
                <w:sz w:val="22"/>
                <w:szCs w:val="22"/>
              </w:rPr>
              <w:t xml:space="preserve"> Surveillance Study Orders: Device Characteristics, Study Statuses, Outcomes, and Potential Contributions </w:t>
            </w:r>
          </w:p>
        </w:tc>
        <w:tc>
          <w:tcPr>
            <w:tcW w:w="0" w:type="auto"/>
            <w:vMerge/>
            <w:tcBorders>
              <w:left w:val="single" w:sz="8" w:space="0" w:color="000000"/>
              <w:right w:val="single" w:sz="8" w:space="0" w:color="000000"/>
            </w:tcBorders>
            <w:vAlign w:val="center"/>
            <w:hideMark/>
          </w:tcPr>
          <w:p w14:paraId="333A489F" w14:textId="77777777" w:rsidR="005F34D5" w:rsidRPr="0070504F" w:rsidRDefault="005F34D5" w:rsidP="0070504F">
            <w:pPr>
              <w:spacing w:after="0" w:line="240" w:lineRule="auto"/>
              <w:rPr>
                <w:rFonts w:ascii="Times New Roman" w:eastAsia="Times New Roman" w:hAnsi="Times New Roman" w:cs="Times New Roman"/>
                <w:sz w:val="24"/>
                <w:szCs w:val="24"/>
              </w:rPr>
            </w:pPr>
          </w:p>
        </w:tc>
      </w:tr>
      <w:tr w:rsidR="005F34D5" w:rsidRPr="0070504F" w14:paraId="1D61A752" w14:textId="77777777" w:rsidTr="000325E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0C1E7"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BADDC" w14:textId="65085536"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[8</w:t>
            </w:r>
            <w:r w:rsidR="006473C9">
              <w:rPr>
                <w:rFonts w:ascii="Times New Roman" w:eastAsia="Times New Roman" w:hAnsi="Times New Roman" w:cs="Times New Roman"/>
                <w:color w:val="000000"/>
              </w:rPr>
              <w:t>7</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99CD3" w14:textId="78D6464D" w:rsidR="005F34D5" w:rsidRPr="0070504F" w:rsidRDefault="006473C9" w:rsidP="0070504F">
            <w:pPr>
              <w:spacing w:after="0" w:line="240" w:lineRule="auto"/>
              <w:rPr>
                <w:rFonts w:ascii="Times New Roman" w:eastAsia="Times New Roman" w:hAnsi="Times New Roman" w:cs="Times New Roman"/>
                <w:sz w:val="24"/>
                <w:szCs w:val="24"/>
              </w:rPr>
            </w:pPr>
            <w:r w:rsidRPr="006473C9">
              <w:rPr>
                <w:rFonts w:ascii="Times New Roman" w:eastAsia="Times New Roman" w:hAnsi="Times New Roman" w:cs="Times New Roman"/>
                <w:color w:val="000000"/>
              </w:rPr>
              <w:t>Model competencies in regulatory therapeutic product assessment: Health Canada's good review guiding principles as a reviewing community's code of intellectual conduct</w:t>
            </w:r>
          </w:p>
        </w:tc>
        <w:tc>
          <w:tcPr>
            <w:tcW w:w="0" w:type="auto"/>
            <w:vMerge/>
            <w:tcBorders>
              <w:left w:val="single" w:sz="8" w:space="0" w:color="000000"/>
              <w:right w:val="single" w:sz="8" w:space="0" w:color="000000"/>
            </w:tcBorders>
            <w:vAlign w:val="center"/>
            <w:hideMark/>
          </w:tcPr>
          <w:p w14:paraId="2EA22491" w14:textId="77777777" w:rsidR="005F34D5" w:rsidRPr="0070504F" w:rsidRDefault="005F34D5" w:rsidP="0070504F">
            <w:pPr>
              <w:spacing w:after="0" w:line="240" w:lineRule="auto"/>
              <w:rPr>
                <w:rFonts w:ascii="Times New Roman" w:eastAsia="Times New Roman" w:hAnsi="Times New Roman" w:cs="Times New Roman"/>
                <w:sz w:val="24"/>
                <w:szCs w:val="24"/>
              </w:rPr>
            </w:pPr>
          </w:p>
        </w:tc>
      </w:tr>
      <w:tr w:rsidR="005F34D5" w:rsidRPr="0070504F" w14:paraId="4FD9B8B4" w14:textId="77777777" w:rsidTr="000325E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CA3B2"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0B243" w14:textId="06A79AD2"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Roboto" w:eastAsia="Times New Roman" w:hAnsi="Roboto" w:cs="Times New Roman"/>
                <w:color w:val="3C4043"/>
                <w:sz w:val="21"/>
                <w:szCs w:val="21"/>
                <w:shd w:val="clear" w:color="auto" w:fill="FFFFFF"/>
              </w:rPr>
              <w:t>[</w:t>
            </w:r>
            <w:r w:rsidR="006473C9">
              <w:rPr>
                <w:rFonts w:ascii="Roboto" w:eastAsia="Times New Roman" w:hAnsi="Roboto" w:cs="Times New Roman"/>
                <w:color w:val="3C4043"/>
                <w:sz w:val="21"/>
                <w:szCs w:val="21"/>
                <w:shd w:val="clear" w:color="auto" w:fill="FFFFFF"/>
              </w:rPr>
              <w:t>88</w:t>
            </w:r>
            <w:r w:rsidRPr="0070504F">
              <w:rPr>
                <w:rFonts w:ascii="Roboto" w:eastAsia="Times New Roman" w:hAnsi="Roboto" w:cs="Times New Roman"/>
                <w:color w:val="3C4043"/>
                <w:sz w:val="21"/>
                <w:szCs w:val="21"/>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3A2F0" w14:textId="658BAFCE" w:rsidR="005F34D5" w:rsidRPr="006473C9" w:rsidRDefault="006473C9" w:rsidP="006473C9">
            <w:pPr>
              <w:pStyle w:val="Default"/>
              <w:rPr>
                <w:sz w:val="22"/>
                <w:szCs w:val="22"/>
              </w:rPr>
            </w:pPr>
            <w:r>
              <w:rPr>
                <w:sz w:val="22"/>
                <w:szCs w:val="22"/>
              </w:rPr>
              <w:t xml:space="preserve">An example of US Food and Drug Administration device regulation: medical devices indicated for use in acute ischemic stroke </w:t>
            </w:r>
          </w:p>
        </w:tc>
        <w:tc>
          <w:tcPr>
            <w:tcW w:w="0" w:type="auto"/>
            <w:vMerge/>
            <w:tcBorders>
              <w:left w:val="single" w:sz="8" w:space="0" w:color="000000"/>
              <w:right w:val="single" w:sz="8" w:space="0" w:color="000000"/>
            </w:tcBorders>
            <w:vAlign w:val="center"/>
            <w:hideMark/>
          </w:tcPr>
          <w:p w14:paraId="304E8890" w14:textId="77777777" w:rsidR="005F34D5" w:rsidRPr="0070504F" w:rsidRDefault="005F34D5" w:rsidP="0070504F">
            <w:pPr>
              <w:spacing w:after="0" w:line="240" w:lineRule="auto"/>
              <w:rPr>
                <w:rFonts w:ascii="Times New Roman" w:eastAsia="Times New Roman" w:hAnsi="Times New Roman" w:cs="Times New Roman"/>
                <w:sz w:val="24"/>
                <w:szCs w:val="24"/>
              </w:rPr>
            </w:pPr>
          </w:p>
        </w:tc>
      </w:tr>
      <w:tr w:rsidR="005F34D5" w:rsidRPr="0070504F" w14:paraId="13D124E2" w14:textId="77777777" w:rsidTr="000325E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FBAAA" w14:textId="77777777"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8ED78" w14:textId="3A489E60"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w:t>
            </w:r>
            <w:r w:rsidR="006473C9">
              <w:rPr>
                <w:rFonts w:ascii="Times New Roman" w:eastAsia="Times New Roman" w:hAnsi="Times New Roman" w:cs="Times New Roman"/>
                <w:color w:val="000000"/>
              </w:rPr>
              <w:t>89</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AC2AC" w14:textId="28A10C8B" w:rsidR="005F34D5" w:rsidRPr="006473C9" w:rsidRDefault="006473C9" w:rsidP="006473C9">
            <w:pPr>
              <w:pStyle w:val="Default"/>
              <w:rPr>
                <w:sz w:val="22"/>
                <w:szCs w:val="22"/>
              </w:rPr>
            </w:pPr>
            <w:r>
              <w:rPr>
                <w:sz w:val="22"/>
                <w:szCs w:val="22"/>
              </w:rPr>
              <w:t xml:space="preserve">Post-marketing surveillance and vigilance for medical devices: the European approach </w:t>
            </w:r>
          </w:p>
        </w:tc>
        <w:tc>
          <w:tcPr>
            <w:tcW w:w="0" w:type="auto"/>
            <w:vMerge/>
            <w:tcBorders>
              <w:left w:val="single" w:sz="8" w:space="0" w:color="000000"/>
              <w:right w:val="single" w:sz="8" w:space="0" w:color="000000"/>
            </w:tcBorders>
            <w:vAlign w:val="center"/>
            <w:hideMark/>
          </w:tcPr>
          <w:p w14:paraId="49CB3586" w14:textId="77777777" w:rsidR="005F34D5" w:rsidRPr="0070504F" w:rsidRDefault="005F34D5" w:rsidP="0070504F">
            <w:pPr>
              <w:spacing w:after="0" w:line="240" w:lineRule="auto"/>
              <w:rPr>
                <w:rFonts w:ascii="Times New Roman" w:eastAsia="Times New Roman" w:hAnsi="Times New Roman" w:cs="Times New Roman"/>
                <w:sz w:val="24"/>
                <w:szCs w:val="24"/>
              </w:rPr>
            </w:pPr>
          </w:p>
        </w:tc>
      </w:tr>
      <w:tr w:rsidR="005F34D5" w:rsidRPr="0070504F" w14:paraId="3D97826B" w14:textId="77777777" w:rsidTr="000325E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0A55A" w14:textId="253292CA"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2</w:t>
            </w:r>
            <w:r w:rsidR="006473C9">
              <w:rPr>
                <w:rFonts w:ascii="Times New Roman" w:eastAsia="Times New Roman" w:hAnsi="Times New Roman" w:cs="Times New Roman"/>
                <w:color w:val="000000"/>
              </w:rPr>
              <w:t>2</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450D4" w14:textId="77538966"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w:t>
            </w:r>
            <w:r w:rsidR="006473C9">
              <w:rPr>
                <w:rFonts w:ascii="Times New Roman" w:eastAsia="Times New Roman" w:hAnsi="Times New Roman" w:cs="Times New Roman"/>
                <w:color w:val="000000"/>
              </w:rPr>
              <w:t>90</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D9468" w14:textId="1579FEB3" w:rsidR="005F34D5" w:rsidRPr="006473C9" w:rsidRDefault="006473C9" w:rsidP="006473C9">
            <w:pPr>
              <w:pStyle w:val="Default"/>
              <w:rPr>
                <w:sz w:val="22"/>
                <w:szCs w:val="22"/>
              </w:rPr>
            </w:pPr>
            <w:r>
              <w:rPr>
                <w:sz w:val="22"/>
                <w:szCs w:val="22"/>
              </w:rPr>
              <w:t xml:space="preserve">Approval of high-risk medical devices in the US: implications for clinical cardiology </w:t>
            </w:r>
          </w:p>
        </w:tc>
        <w:tc>
          <w:tcPr>
            <w:tcW w:w="0" w:type="auto"/>
            <w:vMerge/>
            <w:tcBorders>
              <w:left w:val="single" w:sz="8" w:space="0" w:color="000000"/>
              <w:right w:val="single" w:sz="8" w:space="0" w:color="000000"/>
            </w:tcBorders>
            <w:vAlign w:val="center"/>
            <w:hideMark/>
          </w:tcPr>
          <w:p w14:paraId="762326E1" w14:textId="77777777" w:rsidR="005F34D5" w:rsidRPr="0070504F" w:rsidRDefault="005F34D5" w:rsidP="0070504F">
            <w:pPr>
              <w:spacing w:after="0" w:line="240" w:lineRule="auto"/>
              <w:rPr>
                <w:rFonts w:ascii="Times New Roman" w:eastAsia="Times New Roman" w:hAnsi="Times New Roman" w:cs="Times New Roman"/>
                <w:sz w:val="24"/>
                <w:szCs w:val="24"/>
              </w:rPr>
            </w:pPr>
          </w:p>
        </w:tc>
      </w:tr>
      <w:tr w:rsidR="005F34D5" w:rsidRPr="0070504F" w14:paraId="75975C2A" w14:textId="77777777" w:rsidTr="000325E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3264C" w14:textId="558567A9"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2</w:t>
            </w:r>
            <w:r w:rsidR="006473C9">
              <w:rPr>
                <w:rFonts w:ascii="Times New Roman" w:eastAsia="Times New Roman" w:hAnsi="Times New Roman" w:cs="Times New Roman"/>
                <w:color w:val="000000"/>
              </w:rPr>
              <w:t>3</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1333C" w14:textId="074A22DC" w:rsidR="005F34D5" w:rsidRPr="0070504F" w:rsidRDefault="005F34D5" w:rsidP="0070504F">
            <w:pPr>
              <w:spacing w:after="0"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color w:val="000000"/>
              </w:rPr>
              <w:t>[</w:t>
            </w:r>
            <w:r w:rsidR="006473C9">
              <w:rPr>
                <w:rFonts w:ascii="Times New Roman" w:eastAsia="Times New Roman" w:hAnsi="Times New Roman" w:cs="Times New Roman"/>
                <w:color w:val="000000"/>
              </w:rPr>
              <w:t>91</w:t>
            </w:r>
            <w:r w:rsidRPr="0070504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767EE" w14:textId="0583BD86" w:rsidR="005F34D5" w:rsidRPr="006473C9" w:rsidRDefault="006473C9" w:rsidP="006473C9">
            <w:pPr>
              <w:pStyle w:val="Default"/>
              <w:rPr>
                <w:sz w:val="22"/>
                <w:szCs w:val="22"/>
              </w:rPr>
            </w:pPr>
            <w:r>
              <w:rPr>
                <w:sz w:val="22"/>
                <w:szCs w:val="22"/>
              </w:rPr>
              <w:t xml:space="preserve">Post-market clinical research conducted by medical device manufacturers: a cross-sectional survey </w:t>
            </w:r>
          </w:p>
        </w:tc>
        <w:tc>
          <w:tcPr>
            <w:tcW w:w="0" w:type="auto"/>
            <w:vMerge/>
            <w:tcBorders>
              <w:left w:val="single" w:sz="8" w:space="0" w:color="000000"/>
              <w:right w:val="single" w:sz="8" w:space="0" w:color="000000"/>
            </w:tcBorders>
            <w:vAlign w:val="center"/>
            <w:hideMark/>
          </w:tcPr>
          <w:p w14:paraId="770AD4EC" w14:textId="77777777" w:rsidR="005F34D5" w:rsidRPr="0070504F" w:rsidRDefault="005F34D5" w:rsidP="0070504F">
            <w:pPr>
              <w:spacing w:after="0" w:line="240" w:lineRule="auto"/>
              <w:rPr>
                <w:rFonts w:ascii="Times New Roman" w:eastAsia="Times New Roman" w:hAnsi="Times New Roman" w:cs="Times New Roman"/>
                <w:sz w:val="24"/>
                <w:szCs w:val="24"/>
              </w:rPr>
            </w:pPr>
          </w:p>
        </w:tc>
      </w:tr>
    </w:tbl>
    <w:p w14:paraId="696D5C35" w14:textId="77777777" w:rsidR="0079580A" w:rsidRDefault="0079580A"/>
    <w:sectPr w:rsidR="00795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3EC"/>
    <w:multiLevelType w:val="multilevel"/>
    <w:tmpl w:val="72C09C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77492"/>
    <w:multiLevelType w:val="multilevel"/>
    <w:tmpl w:val="8918DC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94EE4"/>
    <w:multiLevelType w:val="multilevel"/>
    <w:tmpl w:val="896C8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F1011"/>
    <w:multiLevelType w:val="multilevel"/>
    <w:tmpl w:val="0ED41A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97AAD"/>
    <w:multiLevelType w:val="multilevel"/>
    <w:tmpl w:val="120468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F4C81"/>
    <w:multiLevelType w:val="multilevel"/>
    <w:tmpl w:val="83828F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E7659"/>
    <w:multiLevelType w:val="multilevel"/>
    <w:tmpl w:val="ED3215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C59CA"/>
    <w:multiLevelType w:val="multilevel"/>
    <w:tmpl w:val="A62A35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A69EF"/>
    <w:multiLevelType w:val="multilevel"/>
    <w:tmpl w:val="8B745E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D48F2"/>
    <w:multiLevelType w:val="multilevel"/>
    <w:tmpl w:val="629455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C0739"/>
    <w:multiLevelType w:val="multilevel"/>
    <w:tmpl w:val="7D14D5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3859CC"/>
    <w:multiLevelType w:val="multilevel"/>
    <w:tmpl w:val="4790DE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655C6D"/>
    <w:multiLevelType w:val="multilevel"/>
    <w:tmpl w:val="30FEEB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D4666"/>
    <w:multiLevelType w:val="multilevel"/>
    <w:tmpl w:val="05F4A1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8C5D87"/>
    <w:multiLevelType w:val="multilevel"/>
    <w:tmpl w:val="BF5E29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3B351E"/>
    <w:multiLevelType w:val="multilevel"/>
    <w:tmpl w:val="203872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986117"/>
    <w:multiLevelType w:val="multilevel"/>
    <w:tmpl w:val="19621D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A96813"/>
    <w:multiLevelType w:val="multilevel"/>
    <w:tmpl w:val="F558B9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53262F"/>
    <w:multiLevelType w:val="multilevel"/>
    <w:tmpl w:val="36220D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8B5F07"/>
    <w:multiLevelType w:val="multilevel"/>
    <w:tmpl w:val="AD7E37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2582E"/>
    <w:multiLevelType w:val="multilevel"/>
    <w:tmpl w:val="610ED8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9A5346"/>
    <w:multiLevelType w:val="multilevel"/>
    <w:tmpl w:val="DC4E55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811225"/>
    <w:multiLevelType w:val="multilevel"/>
    <w:tmpl w:val="AA2252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4D5441"/>
    <w:multiLevelType w:val="multilevel"/>
    <w:tmpl w:val="FEC800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1B5628"/>
    <w:multiLevelType w:val="multilevel"/>
    <w:tmpl w:val="F08019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A16BCA"/>
    <w:multiLevelType w:val="multilevel"/>
    <w:tmpl w:val="D5B632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351E69"/>
    <w:multiLevelType w:val="multilevel"/>
    <w:tmpl w:val="C26E84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B92A3F"/>
    <w:multiLevelType w:val="multilevel"/>
    <w:tmpl w:val="E43088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151449"/>
    <w:multiLevelType w:val="multilevel"/>
    <w:tmpl w:val="E2A467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8C1F04"/>
    <w:multiLevelType w:val="multilevel"/>
    <w:tmpl w:val="23BC69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C64230"/>
    <w:multiLevelType w:val="multilevel"/>
    <w:tmpl w:val="B5EC9B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663F49"/>
    <w:multiLevelType w:val="multilevel"/>
    <w:tmpl w:val="405EBC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0B504E"/>
    <w:multiLevelType w:val="multilevel"/>
    <w:tmpl w:val="FF46A6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92819242">
    <w:abstractNumId w:val="11"/>
  </w:num>
  <w:num w:numId="2" w16cid:durableId="512960158">
    <w:abstractNumId w:val="15"/>
  </w:num>
  <w:num w:numId="3" w16cid:durableId="1000818559">
    <w:abstractNumId w:val="31"/>
  </w:num>
  <w:num w:numId="4" w16cid:durableId="678656765">
    <w:abstractNumId w:val="19"/>
  </w:num>
  <w:num w:numId="5" w16cid:durableId="357699261">
    <w:abstractNumId w:val="2"/>
  </w:num>
  <w:num w:numId="6" w16cid:durableId="495725979">
    <w:abstractNumId w:val="29"/>
  </w:num>
  <w:num w:numId="7" w16cid:durableId="1159807060">
    <w:abstractNumId w:val="23"/>
  </w:num>
  <w:num w:numId="8" w16cid:durableId="638459274">
    <w:abstractNumId w:val="7"/>
  </w:num>
  <w:num w:numId="9" w16cid:durableId="2058242670">
    <w:abstractNumId w:val="3"/>
  </w:num>
  <w:num w:numId="10" w16cid:durableId="852845019">
    <w:abstractNumId w:val="32"/>
  </w:num>
  <w:num w:numId="11" w16cid:durableId="1635327659">
    <w:abstractNumId w:val="24"/>
  </w:num>
  <w:num w:numId="12" w16cid:durableId="881135600">
    <w:abstractNumId w:val="22"/>
  </w:num>
  <w:num w:numId="13" w16cid:durableId="700908453">
    <w:abstractNumId w:val="4"/>
  </w:num>
  <w:num w:numId="14" w16cid:durableId="265769760">
    <w:abstractNumId w:val="12"/>
  </w:num>
  <w:num w:numId="15" w16cid:durableId="757364371">
    <w:abstractNumId w:val="18"/>
  </w:num>
  <w:num w:numId="16" w16cid:durableId="905803500">
    <w:abstractNumId w:val="8"/>
  </w:num>
  <w:num w:numId="17" w16cid:durableId="205919323">
    <w:abstractNumId w:val="16"/>
  </w:num>
  <w:num w:numId="18" w16cid:durableId="678850376">
    <w:abstractNumId w:val="25"/>
  </w:num>
  <w:num w:numId="19" w16cid:durableId="1647468537">
    <w:abstractNumId w:val="0"/>
  </w:num>
  <w:num w:numId="20" w16cid:durableId="511260212">
    <w:abstractNumId w:val="13"/>
  </w:num>
  <w:num w:numId="21" w16cid:durableId="952710731">
    <w:abstractNumId w:val="30"/>
  </w:num>
  <w:num w:numId="22" w16cid:durableId="219171458">
    <w:abstractNumId w:val="1"/>
  </w:num>
  <w:num w:numId="23" w16cid:durableId="763839055">
    <w:abstractNumId w:val="21"/>
  </w:num>
  <w:num w:numId="24" w16cid:durableId="532380446">
    <w:abstractNumId w:val="20"/>
  </w:num>
  <w:num w:numId="25" w16cid:durableId="284578587">
    <w:abstractNumId w:val="5"/>
  </w:num>
  <w:num w:numId="26" w16cid:durableId="2132085995">
    <w:abstractNumId w:val="10"/>
  </w:num>
  <w:num w:numId="27" w16cid:durableId="853151778">
    <w:abstractNumId w:val="9"/>
  </w:num>
  <w:num w:numId="28" w16cid:durableId="153305712">
    <w:abstractNumId w:val="26"/>
  </w:num>
  <w:num w:numId="29" w16cid:durableId="227570624">
    <w:abstractNumId w:val="14"/>
  </w:num>
  <w:num w:numId="30" w16cid:durableId="1626499765">
    <w:abstractNumId w:val="17"/>
  </w:num>
  <w:num w:numId="31" w16cid:durableId="2023775282">
    <w:abstractNumId w:val="6"/>
  </w:num>
  <w:num w:numId="32" w16cid:durableId="879122631">
    <w:abstractNumId w:val="28"/>
  </w:num>
  <w:num w:numId="33" w16cid:durableId="774842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4F"/>
    <w:rsid w:val="000D1FAF"/>
    <w:rsid w:val="0046609A"/>
    <w:rsid w:val="005A108F"/>
    <w:rsid w:val="005F34D5"/>
    <w:rsid w:val="006473C9"/>
    <w:rsid w:val="00702647"/>
    <w:rsid w:val="0070504F"/>
    <w:rsid w:val="0079580A"/>
    <w:rsid w:val="00D0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2F89"/>
  <w15:chartTrackingRefBased/>
  <w15:docId w15:val="{8AE5D3CE-4C72-4309-9156-C0B85804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50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473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0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Lemana Spahic</dc:creator>
  <cp:keywords/>
  <dc:description/>
  <cp:lastModifiedBy>Lemana Spahic</cp:lastModifiedBy>
  <cp:revision>2</cp:revision>
  <cp:lastPrinted>2022-05-09T08:36:00Z</cp:lastPrinted>
  <dcterms:created xsi:type="dcterms:W3CDTF">2022-08-08T10:32:00Z</dcterms:created>
  <dcterms:modified xsi:type="dcterms:W3CDTF">2022-08-08T10:32:00Z</dcterms:modified>
</cp:coreProperties>
</file>