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DE92A9" w14:textId="77777777" w:rsidR="00EC67B9" w:rsidRPr="00526714" w:rsidRDefault="00EC67B9" w:rsidP="00EC67B9">
      <w:pPr>
        <w:spacing w:line="480" w:lineRule="auto"/>
        <w:rPr>
          <w:rFonts w:ascii="Arial" w:eastAsia="SimSun" w:hAnsi="Arial" w:cs="Arial"/>
          <w:b/>
          <w:bCs/>
          <w:noProof/>
          <w:color w:val="000000"/>
          <w:sz w:val="20"/>
          <w:szCs w:val="20"/>
          <w:lang w:eastAsia="zh-CN"/>
        </w:rPr>
      </w:pPr>
      <w:bookmarkStart w:id="0" w:name="_GoBack"/>
      <w:bookmarkEnd w:id="0"/>
      <w:r w:rsidRPr="00526714">
        <w:rPr>
          <w:rFonts w:ascii="Arial" w:hAnsi="Arial" w:cs="Arial"/>
          <w:b/>
          <w:bCs/>
          <w:sz w:val="24"/>
          <w:szCs w:val="24"/>
        </w:rPr>
        <w:t>Supplementary Materials</w:t>
      </w:r>
      <w:r w:rsidRPr="00526714">
        <w:rPr>
          <w:rFonts w:ascii="Arial" w:eastAsia="SimSun" w:hAnsi="Arial" w:cs="Arial"/>
          <w:b/>
          <w:bCs/>
          <w:noProof/>
          <w:color w:val="000000"/>
          <w:sz w:val="20"/>
          <w:szCs w:val="20"/>
          <w:lang w:eastAsia="zh-CN"/>
        </w:rPr>
        <w:t xml:space="preserve"> </w:t>
      </w:r>
    </w:p>
    <w:p w14:paraId="32AD495E" w14:textId="77777777" w:rsidR="00EC67B9" w:rsidRPr="008E7E0E" w:rsidRDefault="00EC67B9" w:rsidP="00EC67B9">
      <w:pPr>
        <w:spacing w:line="480" w:lineRule="auto"/>
        <w:rPr>
          <w:rFonts w:ascii="Arial" w:hAnsi="Arial" w:cs="Arial"/>
          <w:sz w:val="24"/>
          <w:szCs w:val="24"/>
        </w:rPr>
      </w:pPr>
      <w:r w:rsidRPr="00AD5FC8">
        <w:rPr>
          <w:rFonts w:ascii="Arial" w:hAnsi="Arial" w:cs="Arial"/>
          <w:sz w:val="24"/>
          <w:szCs w:val="24"/>
        </w:rPr>
        <w:t>Table S1. Primer List used in Real Time PCR Experiments. Table S2. Antibodies used in Western Blot Experiments.</w:t>
      </w:r>
    </w:p>
    <w:p w14:paraId="3CE46B2C" w14:textId="77777777" w:rsidR="00EC67B9" w:rsidRPr="00D9105A" w:rsidRDefault="00EC67B9" w:rsidP="00EC67B9">
      <w:pPr>
        <w:rPr>
          <w:rFonts w:ascii="Arial" w:hAnsi="Arial" w:cs="Arial"/>
          <w:sz w:val="24"/>
          <w:szCs w:val="24"/>
        </w:rPr>
      </w:pPr>
      <w:r w:rsidRPr="00D9105A">
        <w:rPr>
          <w:rFonts w:ascii="Arial" w:hAnsi="Arial" w:cs="Arial"/>
          <w:b/>
          <w:bCs/>
          <w:sz w:val="24"/>
          <w:szCs w:val="24"/>
        </w:rPr>
        <w:t>Supplementary Table 1.</w:t>
      </w:r>
      <w:r w:rsidRPr="00D9105A">
        <w:rPr>
          <w:rFonts w:ascii="Arial" w:hAnsi="Arial" w:cs="Arial"/>
          <w:sz w:val="24"/>
          <w:szCs w:val="24"/>
        </w:rPr>
        <w:t xml:space="preserve"> Primer List used in Real Time PCR Experiments.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1073"/>
        <w:gridCol w:w="2805"/>
        <w:gridCol w:w="2915"/>
        <w:gridCol w:w="2557"/>
      </w:tblGrid>
      <w:tr w:rsidR="00EC67B9" w:rsidRPr="00D9105A" w14:paraId="3767D27C" w14:textId="77777777" w:rsidTr="00220979">
        <w:tc>
          <w:tcPr>
            <w:tcW w:w="1073" w:type="dxa"/>
          </w:tcPr>
          <w:p w14:paraId="21F05087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5" w:type="dxa"/>
          </w:tcPr>
          <w:p w14:paraId="1B4E00D8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Forward</w:t>
            </w:r>
          </w:p>
        </w:tc>
        <w:tc>
          <w:tcPr>
            <w:tcW w:w="2915" w:type="dxa"/>
          </w:tcPr>
          <w:p w14:paraId="1A8321FB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Reverse</w:t>
            </w:r>
          </w:p>
        </w:tc>
        <w:tc>
          <w:tcPr>
            <w:tcW w:w="2557" w:type="dxa"/>
          </w:tcPr>
          <w:p w14:paraId="33BB66E9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Annealing temperature (in Celsius)</w:t>
            </w:r>
          </w:p>
        </w:tc>
      </w:tr>
      <w:tr w:rsidR="00EC67B9" w:rsidRPr="00D9105A" w14:paraId="7354E1CC" w14:textId="77777777" w:rsidTr="00220979">
        <w:tc>
          <w:tcPr>
            <w:tcW w:w="1073" w:type="dxa"/>
          </w:tcPr>
          <w:p w14:paraId="2502B0B8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105A">
              <w:rPr>
                <w:rFonts w:ascii="Arial" w:hAnsi="Arial" w:cs="Arial"/>
                <w:sz w:val="24"/>
                <w:szCs w:val="24"/>
              </w:rPr>
              <w:t>Myog</w:t>
            </w:r>
            <w:proofErr w:type="spellEnd"/>
          </w:p>
        </w:tc>
        <w:tc>
          <w:tcPr>
            <w:tcW w:w="2805" w:type="dxa"/>
          </w:tcPr>
          <w:p w14:paraId="73425C3B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TGA ATG CAA CTC CCA CAG C</w:t>
            </w:r>
          </w:p>
        </w:tc>
        <w:tc>
          <w:tcPr>
            <w:tcW w:w="2915" w:type="dxa"/>
          </w:tcPr>
          <w:p w14:paraId="53D93805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CAG ACA TAT CCT CCA CCG TG</w:t>
            </w:r>
          </w:p>
        </w:tc>
        <w:tc>
          <w:tcPr>
            <w:tcW w:w="2557" w:type="dxa"/>
          </w:tcPr>
          <w:p w14:paraId="4F4709EE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  <w:tr w:rsidR="00EC67B9" w:rsidRPr="00D9105A" w14:paraId="43F0A3E6" w14:textId="77777777" w:rsidTr="00220979">
        <w:tc>
          <w:tcPr>
            <w:tcW w:w="1073" w:type="dxa"/>
          </w:tcPr>
          <w:p w14:paraId="1A67565C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Pax7</w:t>
            </w:r>
          </w:p>
        </w:tc>
        <w:tc>
          <w:tcPr>
            <w:tcW w:w="2805" w:type="dxa"/>
          </w:tcPr>
          <w:p w14:paraId="0968B5A8" w14:textId="77777777" w:rsidR="00EC67B9" w:rsidRPr="002C3BA1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</w:pPr>
            <w:r w:rsidRPr="002C3BA1">
              <w:rPr>
                <w:rFonts w:ascii="Arial" w:hAnsi="Arial" w:cs="Arial"/>
                <w:color w:val="000000"/>
                <w:sz w:val="24"/>
                <w:szCs w:val="24"/>
                <w:lang w:val="nl-NL"/>
              </w:rPr>
              <w:t>GAG TAT AAG AGG GAG AAC CCC G</w:t>
            </w:r>
          </w:p>
        </w:tc>
        <w:tc>
          <w:tcPr>
            <w:tcW w:w="2915" w:type="dxa"/>
          </w:tcPr>
          <w:p w14:paraId="110DA448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05A">
              <w:rPr>
                <w:rFonts w:ascii="Arial" w:hAnsi="Arial" w:cs="Arial"/>
                <w:color w:val="000000"/>
                <w:sz w:val="24"/>
                <w:szCs w:val="24"/>
              </w:rPr>
              <w:t>TTG ATT CTG AGC ACT CGG CTA A</w:t>
            </w:r>
          </w:p>
        </w:tc>
        <w:tc>
          <w:tcPr>
            <w:tcW w:w="2557" w:type="dxa"/>
          </w:tcPr>
          <w:p w14:paraId="5364251D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EC67B9" w:rsidRPr="00D9105A" w14:paraId="649C0185" w14:textId="77777777" w:rsidTr="00220979">
        <w:tc>
          <w:tcPr>
            <w:tcW w:w="1073" w:type="dxa"/>
          </w:tcPr>
          <w:p w14:paraId="01CC8AA5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Myh1</w:t>
            </w:r>
          </w:p>
        </w:tc>
        <w:tc>
          <w:tcPr>
            <w:tcW w:w="2805" w:type="dxa"/>
          </w:tcPr>
          <w:p w14:paraId="1EEF987C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TCA CTT ACC AAA CTG AGG AAG AC</w:t>
            </w:r>
          </w:p>
        </w:tc>
        <w:tc>
          <w:tcPr>
            <w:tcW w:w="2915" w:type="dxa"/>
          </w:tcPr>
          <w:p w14:paraId="68B99DE5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CCT CGG CTT GTC TCT TGT ATG</w:t>
            </w:r>
          </w:p>
        </w:tc>
        <w:tc>
          <w:tcPr>
            <w:tcW w:w="2557" w:type="dxa"/>
          </w:tcPr>
          <w:p w14:paraId="33EB4AA9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  <w:tr w:rsidR="00EC67B9" w:rsidRPr="00D9105A" w14:paraId="72B44BAC" w14:textId="77777777" w:rsidTr="00220979">
        <w:tc>
          <w:tcPr>
            <w:tcW w:w="1073" w:type="dxa"/>
          </w:tcPr>
          <w:p w14:paraId="4FF33A22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9105A">
              <w:rPr>
                <w:rFonts w:ascii="Arial" w:hAnsi="Arial" w:cs="Arial"/>
                <w:sz w:val="24"/>
                <w:szCs w:val="24"/>
              </w:rPr>
              <w:t>Myod</w:t>
            </w:r>
            <w:proofErr w:type="spellEnd"/>
          </w:p>
        </w:tc>
        <w:tc>
          <w:tcPr>
            <w:tcW w:w="2805" w:type="dxa"/>
          </w:tcPr>
          <w:p w14:paraId="410A1CFE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05A">
              <w:rPr>
                <w:rFonts w:ascii="Arial" w:hAnsi="Arial" w:cs="Arial"/>
                <w:color w:val="000000"/>
                <w:sz w:val="24"/>
                <w:szCs w:val="24"/>
              </w:rPr>
              <w:t>GGA GAC ATC CTC AAG CGA TGC</w:t>
            </w:r>
          </w:p>
        </w:tc>
        <w:tc>
          <w:tcPr>
            <w:tcW w:w="2915" w:type="dxa"/>
          </w:tcPr>
          <w:p w14:paraId="3C0712AB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05A">
              <w:rPr>
                <w:rFonts w:ascii="Arial" w:hAnsi="Arial" w:cs="Arial"/>
                <w:color w:val="000000"/>
                <w:sz w:val="24"/>
                <w:szCs w:val="24"/>
              </w:rPr>
              <w:t>AGC ACC TGG TAA ATC GGA TTG</w:t>
            </w:r>
          </w:p>
        </w:tc>
        <w:tc>
          <w:tcPr>
            <w:tcW w:w="2557" w:type="dxa"/>
          </w:tcPr>
          <w:p w14:paraId="7663EE27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EC67B9" w:rsidRPr="00D9105A" w14:paraId="36F405F8" w14:textId="77777777" w:rsidTr="00220979">
        <w:tc>
          <w:tcPr>
            <w:tcW w:w="1073" w:type="dxa"/>
          </w:tcPr>
          <w:p w14:paraId="09C7E8EB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Lc3b</w:t>
            </w:r>
          </w:p>
        </w:tc>
        <w:tc>
          <w:tcPr>
            <w:tcW w:w="2805" w:type="dxa"/>
          </w:tcPr>
          <w:p w14:paraId="553F3458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05A">
              <w:rPr>
                <w:rFonts w:ascii="Arial" w:hAnsi="Arial" w:cs="Arial"/>
                <w:color w:val="000000"/>
                <w:sz w:val="24"/>
                <w:szCs w:val="24"/>
              </w:rPr>
              <w:t>CAT GCC GTC CGA GAA GAC CT</w:t>
            </w:r>
          </w:p>
        </w:tc>
        <w:tc>
          <w:tcPr>
            <w:tcW w:w="2915" w:type="dxa"/>
          </w:tcPr>
          <w:p w14:paraId="74C7FDEA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105A">
              <w:rPr>
                <w:rFonts w:ascii="Arial" w:hAnsi="Arial" w:cs="Arial"/>
                <w:color w:val="000000"/>
                <w:sz w:val="24"/>
                <w:szCs w:val="24"/>
              </w:rPr>
              <w:t>GAT GAG CCG GAC ATC TTC CAC T</w:t>
            </w:r>
          </w:p>
        </w:tc>
        <w:tc>
          <w:tcPr>
            <w:tcW w:w="2557" w:type="dxa"/>
          </w:tcPr>
          <w:p w14:paraId="3764F411" w14:textId="77777777" w:rsidR="00EC67B9" w:rsidRPr="00D9105A" w:rsidRDefault="00EC67B9" w:rsidP="0022097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59</w:t>
            </w:r>
          </w:p>
        </w:tc>
      </w:tr>
      <w:tr w:rsidR="00EC67B9" w:rsidRPr="00D9105A" w14:paraId="01CFCD81" w14:textId="77777777" w:rsidTr="00220979">
        <w:tc>
          <w:tcPr>
            <w:tcW w:w="1073" w:type="dxa"/>
          </w:tcPr>
          <w:p w14:paraId="4A95D41C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Taz</w:t>
            </w:r>
          </w:p>
        </w:tc>
        <w:tc>
          <w:tcPr>
            <w:tcW w:w="2805" w:type="dxa"/>
          </w:tcPr>
          <w:p w14:paraId="70F707EA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 xml:space="preserve">CAT GGC GGA AAA AGA TCC </w:t>
            </w:r>
            <w:proofErr w:type="spellStart"/>
            <w:r w:rsidRPr="00D9105A">
              <w:rPr>
                <w:rFonts w:ascii="Arial" w:hAnsi="Arial" w:cs="Arial"/>
                <w:sz w:val="24"/>
                <w:szCs w:val="24"/>
              </w:rPr>
              <w:t>TCC</w:t>
            </w:r>
            <w:proofErr w:type="spellEnd"/>
          </w:p>
        </w:tc>
        <w:tc>
          <w:tcPr>
            <w:tcW w:w="2915" w:type="dxa"/>
          </w:tcPr>
          <w:p w14:paraId="4FF7A2BA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GTC GGT CAC GTC ATA GGA CTG</w:t>
            </w:r>
          </w:p>
        </w:tc>
        <w:tc>
          <w:tcPr>
            <w:tcW w:w="2557" w:type="dxa"/>
          </w:tcPr>
          <w:p w14:paraId="6A2AAA2F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</w:tr>
      <w:tr w:rsidR="00EC67B9" w:rsidRPr="00D9105A" w14:paraId="4A62FFE4" w14:textId="77777777" w:rsidTr="00220979">
        <w:tc>
          <w:tcPr>
            <w:tcW w:w="1073" w:type="dxa"/>
          </w:tcPr>
          <w:p w14:paraId="1C0B8E14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Yap</w:t>
            </w:r>
          </w:p>
        </w:tc>
        <w:tc>
          <w:tcPr>
            <w:tcW w:w="2805" w:type="dxa"/>
          </w:tcPr>
          <w:p w14:paraId="0256624C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 xml:space="preserve">GAT CCC TGA </w:t>
            </w:r>
            <w:proofErr w:type="spellStart"/>
            <w:r w:rsidRPr="00D9105A">
              <w:rPr>
                <w:rFonts w:ascii="Arial" w:hAnsi="Arial" w:cs="Arial"/>
                <w:sz w:val="24"/>
                <w:szCs w:val="24"/>
              </w:rPr>
              <w:t>TGA</w:t>
            </w:r>
            <w:proofErr w:type="spellEnd"/>
            <w:r w:rsidRPr="00D9105A">
              <w:rPr>
                <w:rFonts w:ascii="Arial" w:hAnsi="Arial" w:cs="Arial"/>
                <w:sz w:val="24"/>
                <w:szCs w:val="24"/>
              </w:rPr>
              <w:t xml:space="preserve"> TGT ACC ACT GCC</w:t>
            </w:r>
          </w:p>
        </w:tc>
        <w:tc>
          <w:tcPr>
            <w:tcW w:w="2915" w:type="dxa"/>
          </w:tcPr>
          <w:p w14:paraId="4705BD99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 xml:space="preserve">GCC ATG TTG </w:t>
            </w:r>
            <w:proofErr w:type="spellStart"/>
            <w:r w:rsidRPr="00D9105A">
              <w:rPr>
                <w:rFonts w:ascii="Arial" w:hAnsi="Arial" w:cs="Arial"/>
                <w:sz w:val="24"/>
                <w:szCs w:val="24"/>
              </w:rPr>
              <w:t>TTG</w:t>
            </w:r>
            <w:proofErr w:type="spellEnd"/>
            <w:r w:rsidRPr="00D9105A">
              <w:rPr>
                <w:rFonts w:ascii="Arial" w:hAnsi="Arial" w:cs="Arial"/>
                <w:sz w:val="24"/>
                <w:szCs w:val="24"/>
              </w:rPr>
              <w:t xml:space="preserve"> TCT GAT CGT TGT G</w:t>
            </w:r>
          </w:p>
        </w:tc>
        <w:tc>
          <w:tcPr>
            <w:tcW w:w="2557" w:type="dxa"/>
          </w:tcPr>
          <w:p w14:paraId="42477512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EC67B9" w:rsidRPr="00D9105A" w14:paraId="49E988B9" w14:textId="77777777" w:rsidTr="00220979">
        <w:tc>
          <w:tcPr>
            <w:tcW w:w="1073" w:type="dxa"/>
          </w:tcPr>
          <w:p w14:paraId="52FFAB30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Gapdh</w:t>
            </w:r>
            <w:proofErr w:type="spellEnd"/>
          </w:p>
        </w:tc>
        <w:tc>
          <w:tcPr>
            <w:tcW w:w="2805" w:type="dxa"/>
          </w:tcPr>
          <w:p w14:paraId="355736B7" w14:textId="77777777" w:rsidR="00EC67B9" w:rsidRPr="002C3BA1" w:rsidRDefault="00EC67B9" w:rsidP="00220979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C3BA1">
              <w:rPr>
                <w:rFonts w:ascii="Arial" w:hAnsi="Arial" w:cs="Arial"/>
                <w:sz w:val="24"/>
                <w:szCs w:val="24"/>
                <w:lang w:val="nl-NL"/>
              </w:rPr>
              <w:t>AGG TCG GTG TGA ACG GAT TTG</w:t>
            </w:r>
          </w:p>
        </w:tc>
        <w:tc>
          <w:tcPr>
            <w:tcW w:w="2915" w:type="dxa"/>
          </w:tcPr>
          <w:p w14:paraId="6DDAE1FF" w14:textId="77777777" w:rsidR="00EC67B9" w:rsidRPr="002C3BA1" w:rsidRDefault="00EC67B9" w:rsidP="00220979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2C3BA1">
              <w:rPr>
                <w:rFonts w:ascii="Arial" w:hAnsi="Arial" w:cs="Arial"/>
                <w:sz w:val="24"/>
                <w:szCs w:val="24"/>
                <w:lang w:val="nl-NL"/>
              </w:rPr>
              <w:t>TGT AGA CCA TGT AGT TGA GGT CA</w:t>
            </w:r>
          </w:p>
        </w:tc>
        <w:tc>
          <w:tcPr>
            <w:tcW w:w="2557" w:type="dxa"/>
          </w:tcPr>
          <w:p w14:paraId="011CD379" w14:textId="77777777" w:rsidR="00EC67B9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</w:tr>
    </w:tbl>
    <w:p w14:paraId="1F2EEACA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Note: The cycling conditions used except for the annealing temperature is the same as per the manufacturer’s instructions with 20 minutes of reverse transcription at 45°C, 1 minute polymerase activation at 95°C, and 40 cycles of denaturation (95°C, 10 seconds), annealing (depends on the primer, 10 seconds), and extension (72°C, 30 seconds)</w:t>
      </w:r>
    </w:p>
    <w:p w14:paraId="65F2148F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</w:p>
    <w:p w14:paraId="130B8F3D" w14:textId="77777777" w:rsidR="00EC67B9" w:rsidRPr="00D9105A" w:rsidRDefault="00EC67B9" w:rsidP="00EC67B9">
      <w:pPr>
        <w:rPr>
          <w:rFonts w:ascii="Arial" w:hAnsi="Arial" w:cs="Arial"/>
          <w:sz w:val="24"/>
          <w:szCs w:val="24"/>
        </w:rPr>
      </w:pPr>
      <w:r w:rsidRPr="00D9105A">
        <w:rPr>
          <w:rFonts w:ascii="Arial" w:hAnsi="Arial" w:cs="Arial"/>
          <w:b/>
          <w:bCs/>
          <w:sz w:val="24"/>
          <w:szCs w:val="24"/>
        </w:rPr>
        <w:t>Supplementary Table 2.</w:t>
      </w:r>
      <w:r w:rsidRPr="00D9105A">
        <w:rPr>
          <w:rFonts w:ascii="Arial" w:hAnsi="Arial" w:cs="Arial"/>
          <w:sz w:val="24"/>
          <w:szCs w:val="24"/>
        </w:rPr>
        <w:t xml:space="preserve"> Antibodies used in Western Blot Experiments.</w:t>
      </w:r>
    </w:p>
    <w:tbl>
      <w:tblPr>
        <w:tblStyle w:val="TableGrid"/>
        <w:tblpPr w:leftFromText="180" w:rightFromText="180" w:vertAnchor="text" w:horzAnchor="margin" w:tblpY="459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C67B9" w:rsidRPr="00D9105A" w14:paraId="51266796" w14:textId="77777777" w:rsidTr="00220979">
        <w:tc>
          <w:tcPr>
            <w:tcW w:w="3116" w:type="dxa"/>
          </w:tcPr>
          <w:p w14:paraId="3D82D01B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Antibodies</w:t>
            </w:r>
          </w:p>
        </w:tc>
        <w:tc>
          <w:tcPr>
            <w:tcW w:w="3117" w:type="dxa"/>
          </w:tcPr>
          <w:p w14:paraId="5E767772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Company – Cat Number</w:t>
            </w:r>
          </w:p>
        </w:tc>
        <w:tc>
          <w:tcPr>
            <w:tcW w:w="3117" w:type="dxa"/>
          </w:tcPr>
          <w:p w14:paraId="01D12FE0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Dilution</w:t>
            </w:r>
          </w:p>
        </w:tc>
      </w:tr>
      <w:tr w:rsidR="00EC67B9" w:rsidRPr="00D9105A" w14:paraId="549C6599" w14:textId="77777777" w:rsidTr="00220979">
        <w:tc>
          <w:tcPr>
            <w:tcW w:w="3116" w:type="dxa"/>
          </w:tcPr>
          <w:p w14:paraId="4960BCB6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SQSTM1/p62</w:t>
            </w:r>
          </w:p>
        </w:tc>
        <w:tc>
          <w:tcPr>
            <w:tcW w:w="3117" w:type="dxa"/>
          </w:tcPr>
          <w:p w14:paraId="1F346D15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Cell Signaling Technologies –5114S</w:t>
            </w:r>
          </w:p>
        </w:tc>
        <w:tc>
          <w:tcPr>
            <w:tcW w:w="3117" w:type="dxa"/>
          </w:tcPr>
          <w:p w14:paraId="394985BD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1:500</w:t>
            </w:r>
          </w:p>
        </w:tc>
      </w:tr>
      <w:tr w:rsidR="00EC67B9" w:rsidRPr="00D9105A" w14:paraId="5828E57D" w14:textId="77777777" w:rsidTr="00220979">
        <w:tc>
          <w:tcPr>
            <w:tcW w:w="3116" w:type="dxa"/>
          </w:tcPr>
          <w:p w14:paraId="0EF2726E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LC3B</w:t>
            </w:r>
          </w:p>
        </w:tc>
        <w:tc>
          <w:tcPr>
            <w:tcW w:w="3117" w:type="dxa"/>
          </w:tcPr>
          <w:p w14:paraId="061CA342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Cell Signaling Technologies –2775S</w:t>
            </w:r>
          </w:p>
        </w:tc>
        <w:tc>
          <w:tcPr>
            <w:tcW w:w="3117" w:type="dxa"/>
          </w:tcPr>
          <w:p w14:paraId="13AFBE6C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1:1000</w:t>
            </w:r>
          </w:p>
        </w:tc>
      </w:tr>
      <w:tr w:rsidR="00EC67B9" w:rsidRPr="00D9105A" w14:paraId="7417586A" w14:textId="77777777" w:rsidTr="00220979">
        <w:tc>
          <w:tcPr>
            <w:tcW w:w="3116" w:type="dxa"/>
          </w:tcPr>
          <w:p w14:paraId="33F8C55A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YAP (D8H1X)</w:t>
            </w:r>
          </w:p>
        </w:tc>
        <w:tc>
          <w:tcPr>
            <w:tcW w:w="3117" w:type="dxa"/>
          </w:tcPr>
          <w:p w14:paraId="69B7D879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Cell Signaling Technologies – 14074S</w:t>
            </w:r>
          </w:p>
        </w:tc>
        <w:tc>
          <w:tcPr>
            <w:tcW w:w="3117" w:type="dxa"/>
          </w:tcPr>
          <w:p w14:paraId="4CF87E6F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1:1000</w:t>
            </w:r>
          </w:p>
        </w:tc>
      </w:tr>
      <w:tr w:rsidR="00EC67B9" w:rsidRPr="00D9105A" w14:paraId="2C107F79" w14:textId="77777777" w:rsidTr="00220979">
        <w:tc>
          <w:tcPr>
            <w:tcW w:w="3116" w:type="dxa"/>
          </w:tcPr>
          <w:p w14:paraId="3EA7D085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TAZ/WWTR1</w:t>
            </w:r>
          </w:p>
        </w:tc>
        <w:tc>
          <w:tcPr>
            <w:tcW w:w="3117" w:type="dxa"/>
          </w:tcPr>
          <w:p w14:paraId="46F75B74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Novus Biologicals - NB110-58359</w:t>
            </w:r>
          </w:p>
        </w:tc>
        <w:tc>
          <w:tcPr>
            <w:tcW w:w="3117" w:type="dxa"/>
          </w:tcPr>
          <w:p w14:paraId="1A7C4284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1:1000</w:t>
            </w:r>
          </w:p>
        </w:tc>
      </w:tr>
      <w:tr w:rsidR="00EC67B9" w:rsidRPr="00D9105A" w14:paraId="65F42AF2" w14:textId="77777777" w:rsidTr="00220979">
        <w:tc>
          <w:tcPr>
            <w:tcW w:w="3116" w:type="dxa"/>
          </w:tcPr>
          <w:p w14:paraId="0FF6FD4E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GAPDH</w:t>
            </w:r>
          </w:p>
        </w:tc>
        <w:tc>
          <w:tcPr>
            <w:tcW w:w="3117" w:type="dxa"/>
          </w:tcPr>
          <w:p w14:paraId="11606398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R&amp;D Systems - AF5718</w:t>
            </w:r>
          </w:p>
        </w:tc>
        <w:tc>
          <w:tcPr>
            <w:tcW w:w="3117" w:type="dxa"/>
          </w:tcPr>
          <w:p w14:paraId="39D971EC" w14:textId="77777777" w:rsidR="00EC67B9" w:rsidRPr="00D9105A" w:rsidRDefault="00EC67B9" w:rsidP="00220979">
            <w:pPr>
              <w:rPr>
                <w:rFonts w:ascii="Arial" w:hAnsi="Arial" w:cs="Arial"/>
                <w:sz w:val="24"/>
                <w:szCs w:val="24"/>
              </w:rPr>
            </w:pPr>
            <w:r w:rsidRPr="00D9105A">
              <w:rPr>
                <w:rFonts w:ascii="Arial" w:hAnsi="Arial" w:cs="Arial"/>
                <w:sz w:val="24"/>
                <w:szCs w:val="24"/>
              </w:rPr>
              <w:t>1:1000</w:t>
            </w:r>
          </w:p>
        </w:tc>
      </w:tr>
    </w:tbl>
    <w:p w14:paraId="6320794D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</w:p>
    <w:p w14:paraId="6FDA74AF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  <w:r w:rsidRPr="00B57F78">
        <w:rPr>
          <w:rFonts w:ascii="Arial" w:hAnsi="Arial" w:cs="Arial"/>
          <w:b/>
          <w:bCs/>
          <w:sz w:val="24"/>
          <w:szCs w:val="24"/>
        </w:rPr>
        <w:t>Supplementary Table 3.</w:t>
      </w:r>
      <w:r>
        <w:rPr>
          <w:rFonts w:ascii="Arial" w:hAnsi="Arial" w:cs="Arial"/>
          <w:sz w:val="24"/>
          <w:szCs w:val="24"/>
        </w:rPr>
        <w:t xml:space="preserve"> Blood parameters of rats given </w:t>
      </w:r>
      <w:proofErr w:type="spellStart"/>
      <w:r>
        <w:rPr>
          <w:rFonts w:ascii="Arial" w:hAnsi="Arial" w:cs="Arial"/>
          <w:sz w:val="24"/>
          <w:szCs w:val="24"/>
        </w:rPr>
        <w:t>Prospets</w:t>
      </w:r>
      <w:proofErr w:type="spellEnd"/>
      <w:r>
        <w:rPr>
          <w:rFonts w:ascii="Arial" w:hAnsi="Arial" w:cs="Arial"/>
          <w:sz w:val="24"/>
          <w:szCs w:val="24"/>
        </w:rPr>
        <w:t xml:space="preserve"> diet for 12 weeks.</w:t>
      </w:r>
    </w:p>
    <w:tbl>
      <w:tblPr>
        <w:tblW w:w="4500" w:type="dxa"/>
        <w:tblLook w:val="04A0" w:firstRow="1" w:lastRow="0" w:firstColumn="1" w:lastColumn="0" w:noHBand="0" w:noVBand="1"/>
      </w:tblPr>
      <w:tblGrid>
        <w:gridCol w:w="3540"/>
        <w:gridCol w:w="960"/>
      </w:tblGrid>
      <w:tr w:rsidR="00EC67B9" w:rsidRPr="003C3DC7" w14:paraId="592DC2D5" w14:textId="77777777" w:rsidTr="00220979">
        <w:trPr>
          <w:trHeight w:val="288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B4520" w14:textId="77777777" w:rsidR="00EC67B9" w:rsidRPr="003C3DC7" w:rsidRDefault="00EC67B9" w:rsidP="00220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DC7">
              <w:rPr>
                <w:rFonts w:ascii="Calibri" w:eastAsia="Times New Roman" w:hAnsi="Calibri" w:cs="Calibri"/>
                <w:b/>
                <w:bCs/>
                <w:color w:val="000000"/>
              </w:rPr>
              <w:t>Blood Parameter of Rats (12 Weeks)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7B7A9" w14:textId="77777777" w:rsidR="00EC67B9" w:rsidRPr="003C3DC7" w:rsidRDefault="00EC67B9" w:rsidP="00220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C3DC7">
              <w:rPr>
                <w:rFonts w:ascii="Calibri" w:eastAsia="Times New Roman" w:hAnsi="Calibri" w:cs="Calibri"/>
                <w:b/>
                <w:bCs/>
                <w:color w:val="000000"/>
              </w:rPr>
              <w:t>Mean (mg/dL)</w:t>
            </w:r>
          </w:p>
        </w:tc>
      </w:tr>
      <w:tr w:rsidR="00EC67B9" w:rsidRPr="003C3DC7" w14:paraId="2854708A" w14:textId="77777777" w:rsidTr="00220979">
        <w:trPr>
          <w:trHeight w:val="28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49B5" w14:textId="77777777" w:rsidR="00EC67B9" w:rsidRPr="003C3DC7" w:rsidRDefault="00EC67B9" w:rsidP="00220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Cholesterol Level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86E9" w14:textId="77777777" w:rsidR="00EC67B9" w:rsidRPr="003C3DC7" w:rsidRDefault="00EC67B9" w:rsidP="00220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103.93</w:t>
            </w:r>
          </w:p>
        </w:tc>
      </w:tr>
      <w:tr w:rsidR="00EC67B9" w:rsidRPr="003C3DC7" w14:paraId="6FB832BF" w14:textId="77777777" w:rsidTr="00220979">
        <w:trPr>
          <w:trHeight w:val="28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1415" w14:textId="77777777" w:rsidR="00EC67B9" w:rsidRPr="003C3DC7" w:rsidRDefault="00EC67B9" w:rsidP="00220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Triglycerides Level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3B13" w14:textId="77777777" w:rsidR="00EC67B9" w:rsidRPr="003C3DC7" w:rsidRDefault="00EC67B9" w:rsidP="00220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119.81</w:t>
            </w:r>
          </w:p>
        </w:tc>
      </w:tr>
      <w:tr w:rsidR="00EC67B9" w:rsidRPr="003C3DC7" w14:paraId="5FF725FD" w14:textId="77777777" w:rsidTr="00220979">
        <w:trPr>
          <w:trHeight w:val="28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FCA7E" w14:textId="77777777" w:rsidR="00EC67B9" w:rsidRPr="003C3DC7" w:rsidRDefault="00EC67B9" w:rsidP="00220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HDL Levels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F60D" w14:textId="77777777" w:rsidR="00EC67B9" w:rsidRPr="003C3DC7" w:rsidRDefault="00EC67B9" w:rsidP="00220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22.81</w:t>
            </w:r>
          </w:p>
        </w:tc>
      </w:tr>
      <w:tr w:rsidR="00EC67B9" w:rsidRPr="003C3DC7" w14:paraId="5AC2740B" w14:textId="77777777" w:rsidTr="00220979">
        <w:trPr>
          <w:trHeight w:val="288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4FE0" w14:textId="77777777" w:rsidR="00EC67B9" w:rsidRPr="003C3DC7" w:rsidRDefault="00EC67B9" w:rsidP="00220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LDL Levels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0C9A" w14:textId="77777777" w:rsidR="00EC67B9" w:rsidRPr="003C3DC7" w:rsidRDefault="00EC67B9" w:rsidP="00220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57.16</w:t>
            </w:r>
          </w:p>
        </w:tc>
      </w:tr>
      <w:tr w:rsidR="00EC67B9" w:rsidRPr="003C3DC7" w14:paraId="54AFD0ED" w14:textId="77777777" w:rsidTr="00220979">
        <w:trPr>
          <w:trHeight w:val="288"/>
        </w:trPr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EAACD3" w14:textId="77777777" w:rsidR="00EC67B9" w:rsidRPr="003C3DC7" w:rsidRDefault="00EC67B9" w:rsidP="002209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Glucose Levels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50AE4" w14:textId="77777777" w:rsidR="00EC67B9" w:rsidRPr="003C3DC7" w:rsidRDefault="00EC67B9" w:rsidP="0022097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C3DC7">
              <w:rPr>
                <w:rFonts w:ascii="Calibri" w:eastAsia="Times New Roman" w:hAnsi="Calibri" w:cs="Calibri"/>
                <w:color w:val="000000"/>
              </w:rPr>
              <w:t>110.61</w:t>
            </w:r>
          </w:p>
        </w:tc>
      </w:tr>
    </w:tbl>
    <w:p w14:paraId="77EEF6ED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</w:p>
    <w:p w14:paraId="2583D258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D293157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202705F5" wp14:editId="141C56C2">
            <wp:extent cx="4572000" cy="2926080"/>
            <wp:effectExtent l="0" t="0" r="0" b="7620"/>
            <wp:docPr id="6" name="Chart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A073639-0140-4DE0-9231-02030E439DD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056B95C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  <w:r w:rsidRPr="00B57F78">
        <w:rPr>
          <w:rFonts w:ascii="Arial" w:hAnsi="Arial" w:cs="Arial"/>
          <w:b/>
          <w:bCs/>
          <w:sz w:val="24"/>
          <w:szCs w:val="24"/>
        </w:rPr>
        <w:t>Supplementary Figure 1.</w:t>
      </w:r>
      <w:r>
        <w:rPr>
          <w:rFonts w:ascii="Arial" w:hAnsi="Arial" w:cs="Arial"/>
          <w:sz w:val="24"/>
          <w:szCs w:val="24"/>
        </w:rPr>
        <w:t xml:space="preserve"> Body weight parameter of rats given </w:t>
      </w:r>
      <w:proofErr w:type="spellStart"/>
      <w:r>
        <w:rPr>
          <w:rFonts w:ascii="Arial" w:hAnsi="Arial" w:cs="Arial"/>
          <w:sz w:val="24"/>
          <w:szCs w:val="24"/>
        </w:rPr>
        <w:t>Prospets</w:t>
      </w:r>
      <w:proofErr w:type="spellEnd"/>
      <w:r>
        <w:rPr>
          <w:rFonts w:ascii="Arial" w:hAnsi="Arial" w:cs="Arial"/>
          <w:sz w:val="24"/>
          <w:szCs w:val="24"/>
        </w:rPr>
        <w:t xml:space="preserve"> diet for 12 weeks. The chart showed no significant weight changes in rats given the standard chow diet (</w:t>
      </w:r>
      <w:proofErr w:type="spellStart"/>
      <w:r>
        <w:rPr>
          <w:rFonts w:ascii="Arial" w:hAnsi="Arial" w:cs="Arial"/>
          <w:sz w:val="24"/>
          <w:szCs w:val="24"/>
        </w:rPr>
        <w:t>Prospets</w:t>
      </w:r>
      <w:proofErr w:type="spellEnd"/>
      <w:r>
        <w:rPr>
          <w:rFonts w:ascii="Arial" w:hAnsi="Arial" w:cs="Arial"/>
          <w:sz w:val="24"/>
          <w:szCs w:val="24"/>
        </w:rPr>
        <w:t xml:space="preserve">, Surya </w:t>
      </w:r>
      <w:proofErr w:type="spellStart"/>
      <w:r>
        <w:rPr>
          <w:rFonts w:ascii="Arial" w:hAnsi="Arial" w:cs="Arial"/>
          <w:sz w:val="24"/>
          <w:szCs w:val="24"/>
        </w:rPr>
        <w:t>Sains</w:t>
      </w:r>
      <w:proofErr w:type="spellEnd"/>
      <w:r>
        <w:rPr>
          <w:rFonts w:ascii="Arial" w:hAnsi="Arial" w:cs="Arial"/>
          <w:sz w:val="24"/>
          <w:szCs w:val="24"/>
        </w:rPr>
        <w:t>, Indonesia) for 12 weeks. Error bars denote standard deviation.</w:t>
      </w:r>
    </w:p>
    <w:p w14:paraId="5A11E7B2" w14:textId="77777777" w:rsidR="00EC67B9" w:rsidRDefault="00EC67B9" w:rsidP="00EC67B9">
      <w:pPr>
        <w:rPr>
          <w:rFonts w:ascii="Arial" w:hAnsi="Arial" w:cs="Arial"/>
          <w:sz w:val="24"/>
          <w:szCs w:val="24"/>
        </w:rPr>
      </w:pPr>
    </w:p>
    <w:p w14:paraId="7BF2795E" w14:textId="77777777" w:rsidR="00EC67B9" w:rsidRPr="00D9105A" w:rsidRDefault="00EC67B9" w:rsidP="00EC67B9">
      <w:pPr>
        <w:rPr>
          <w:rFonts w:ascii="Arial" w:hAnsi="Arial" w:cs="Arial"/>
          <w:sz w:val="24"/>
          <w:szCs w:val="24"/>
        </w:rPr>
      </w:pPr>
    </w:p>
    <w:p w14:paraId="39609EED" w14:textId="77777777" w:rsidR="00693F61" w:rsidRPr="003333EF" w:rsidRDefault="00693F61" w:rsidP="00B560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bidi="en-US"/>
        </w:rPr>
      </w:pPr>
    </w:p>
    <w:p w14:paraId="237D3866" w14:textId="77777777" w:rsidR="00693F61" w:rsidRDefault="00693F61" w:rsidP="00B5600D">
      <w:pPr>
        <w:spacing w:line="480" w:lineRule="auto"/>
      </w:pPr>
    </w:p>
    <w:p w14:paraId="2810E6D8" w14:textId="26E2DDAE" w:rsidR="00693F61" w:rsidRPr="003333EF" w:rsidRDefault="00693F61" w:rsidP="00B560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3F61" w:rsidRPr="003333E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C30A5" w14:textId="77777777" w:rsidR="00777AA3" w:rsidRDefault="00777AA3" w:rsidP="00B5600D">
      <w:pPr>
        <w:spacing w:after="0" w:line="240" w:lineRule="auto"/>
      </w:pPr>
      <w:r>
        <w:separator/>
      </w:r>
    </w:p>
  </w:endnote>
  <w:endnote w:type="continuationSeparator" w:id="0">
    <w:p w14:paraId="7670354C" w14:textId="77777777" w:rsidR="00777AA3" w:rsidRDefault="00777AA3" w:rsidP="00B56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387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4606E5" w14:textId="5A6BCB8E" w:rsidR="00B5600D" w:rsidRDefault="00B560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57F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E8E371F" w14:textId="77777777" w:rsidR="00B5600D" w:rsidRDefault="00B560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47D86" w14:textId="77777777" w:rsidR="00777AA3" w:rsidRDefault="00777AA3" w:rsidP="00B5600D">
      <w:pPr>
        <w:spacing w:after="0" w:line="240" w:lineRule="auto"/>
      </w:pPr>
      <w:r>
        <w:separator/>
      </w:r>
    </w:p>
  </w:footnote>
  <w:footnote w:type="continuationSeparator" w:id="0">
    <w:p w14:paraId="764F1DB8" w14:textId="77777777" w:rsidR="00777AA3" w:rsidRDefault="00777AA3" w:rsidP="00B56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580B0E"/>
    <w:multiLevelType w:val="hybridMultilevel"/>
    <w:tmpl w:val="9C060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8E75B9"/>
    <w:multiLevelType w:val="hybridMultilevel"/>
    <w:tmpl w:val="3D183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wMTQ2NbcwsTA1MbVU0lEKTi0uzszPAykwsawFAK4B/8EtAAAA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te22ar0q99xf3etev1vd201x202s2vsxxps&quot;&gt;Research Library&lt;record-ids&gt;&lt;item&gt;4187&lt;/item&gt;&lt;item&gt;4242&lt;/item&gt;&lt;item&gt;4243&lt;/item&gt;&lt;item&gt;4244&lt;/item&gt;&lt;item&gt;4245&lt;/item&gt;&lt;item&gt;4247&lt;/item&gt;&lt;item&gt;4248&lt;/item&gt;&lt;item&gt;4252&lt;/item&gt;&lt;item&gt;4347&lt;/item&gt;&lt;item&gt;4612&lt;/item&gt;&lt;item&gt;4625&lt;/item&gt;&lt;item&gt;4633&lt;/item&gt;&lt;item&gt;4634&lt;/item&gt;&lt;item&gt;4812&lt;/item&gt;&lt;item&gt;4814&lt;/item&gt;&lt;item&gt;4815&lt;/item&gt;&lt;item&gt;4831&lt;/item&gt;&lt;item&gt;4852&lt;/item&gt;&lt;item&gt;4853&lt;/item&gt;&lt;item&gt;4856&lt;/item&gt;&lt;item&gt;4998&lt;/item&gt;&lt;item&gt;5196&lt;/item&gt;&lt;item&gt;5307&lt;/item&gt;&lt;item&gt;5308&lt;/item&gt;&lt;item&gt;5408&lt;/item&gt;&lt;item&gt;5441&lt;/item&gt;&lt;/record-ids&gt;&lt;/item&gt;&lt;/Libraries&gt;"/>
  </w:docVars>
  <w:rsids>
    <w:rsidRoot w:val="00C3323B"/>
    <w:rsid w:val="00002571"/>
    <w:rsid w:val="00003861"/>
    <w:rsid w:val="00004E6C"/>
    <w:rsid w:val="0000544A"/>
    <w:rsid w:val="00007BE1"/>
    <w:rsid w:val="000109C0"/>
    <w:rsid w:val="000168A2"/>
    <w:rsid w:val="000176B0"/>
    <w:rsid w:val="00020345"/>
    <w:rsid w:val="0002445C"/>
    <w:rsid w:val="0002624B"/>
    <w:rsid w:val="00030005"/>
    <w:rsid w:val="000307D2"/>
    <w:rsid w:val="00030845"/>
    <w:rsid w:val="000312AD"/>
    <w:rsid w:val="00034718"/>
    <w:rsid w:val="00036135"/>
    <w:rsid w:val="0003667D"/>
    <w:rsid w:val="000435CD"/>
    <w:rsid w:val="00043BC1"/>
    <w:rsid w:val="00045DE7"/>
    <w:rsid w:val="000463A7"/>
    <w:rsid w:val="00046966"/>
    <w:rsid w:val="00047B32"/>
    <w:rsid w:val="000535DA"/>
    <w:rsid w:val="00053D34"/>
    <w:rsid w:val="00054109"/>
    <w:rsid w:val="000601D9"/>
    <w:rsid w:val="0006123F"/>
    <w:rsid w:val="00067B2D"/>
    <w:rsid w:val="00070274"/>
    <w:rsid w:val="000723E6"/>
    <w:rsid w:val="00074089"/>
    <w:rsid w:val="00074277"/>
    <w:rsid w:val="00074F81"/>
    <w:rsid w:val="000779AC"/>
    <w:rsid w:val="000862DD"/>
    <w:rsid w:val="000866A3"/>
    <w:rsid w:val="000869E7"/>
    <w:rsid w:val="0009080F"/>
    <w:rsid w:val="00091750"/>
    <w:rsid w:val="0009268A"/>
    <w:rsid w:val="00092FA1"/>
    <w:rsid w:val="00094AF0"/>
    <w:rsid w:val="000950E0"/>
    <w:rsid w:val="000A2397"/>
    <w:rsid w:val="000A691F"/>
    <w:rsid w:val="000B00DC"/>
    <w:rsid w:val="000B0403"/>
    <w:rsid w:val="000B17AE"/>
    <w:rsid w:val="000B3CC8"/>
    <w:rsid w:val="000B40D6"/>
    <w:rsid w:val="000C0CAF"/>
    <w:rsid w:val="000C34DD"/>
    <w:rsid w:val="000C5BEA"/>
    <w:rsid w:val="000D279E"/>
    <w:rsid w:val="000D5B51"/>
    <w:rsid w:val="000D5F34"/>
    <w:rsid w:val="000E02CB"/>
    <w:rsid w:val="000E2BC7"/>
    <w:rsid w:val="000E441F"/>
    <w:rsid w:val="000E4B82"/>
    <w:rsid w:val="000F1C63"/>
    <w:rsid w:val="000F27DF"/>
    <w:rsid w:val="000F3012"/>
    <w:rsid w:val="000F4DB0"/>
    <w:rsid w:val="000F527A"/>
    <w:rsid w:val="00101FF7"/>
    <w:rsid w:val="00102F36"/>
    <w:rsid w:val="00104B48"/>
    <w:rsid w:val="0010632D"/>
    <w:rsid w:val="001075E0"/>
    <w:rsid w:val="001114B4"/>
    <w:rsid w:val="001128B2"/>
    <w:rsid w:val="00114CE9"/>
    <w:rsid w:val="0011543D"/>
    <w:rsid w:val="001178F8"/>
    <w:rsid w:val="0012185D"/>
    <w:rsid w:val="00123D7A"/>
    <w:rsid w:val="00125A61"/>
    <w:rsid w:val="00127375"/>
    <w:rsid w:val="00130303"/>
    <w:rsid w:val="00131BDE"/>
    <w:rsid w:val="00143719"/>
    <w:rsid w:val="00143B65"/>
    <w:rsid w:val="00151A37"/>
    <w:rsid w:val="00153DB4"/>
    <w:rsid w:val="001548A8"/>
    <w:rsid w:val="001553CA"/>
    <w:rsid w:val="001557F9"/>
    <w:rsid w:val="00156E71"/>
    <w:rsid w:val="00156F96"/>
    <w:rsid w:val="00157885"/>
    <w:rsid w:val="001645B4"/>
    <w:rsid w:val="00164C20"/>
    <w:rsid w:val="00170225"/>
    <w:rsid w:val="00172C44"/>
    <w:rsid w:val="00173F06"/>
    <w:rsid w:val="0017705F"/>
    <w:rsid w:val="00183009"/>
    <w:rsid w:val="00183474"/>
    <w:rsid w:val="00183798"/>
    <w:rsid w:val="00184D40"/>
    <w:rsid w:val="00190037"/>
    <w:rsid w:val="00190FE3"/>
    <w:rsid w:val="00192A17"/>
    <w:rsid w:val="00194080"/>
    <w:rsid w:val="00195CE1"/>
    <w:rsid w:val="00195FC0"/>
    <w:rsid w:val="00196652"/>
    <w:rsid w:val="001A74E0"/>
    <w:rsid w:val="001A7DE4"/>
    <w:rsid w:val="001B1C7F"/>
    <w:rsid w:val="001B5D8E"/>
    <w:rsid w:val="001C11DB"/>
    <w:rsid w:val="001C471F"/>
    <w:rsid w:val="001C54E7"/>
    <w:rsid w:val="001D048E"/>
    <w:rsid w:val="001D2B54"/>
    <w:rsid w:val="001D6ADF"/>
    <w:rsid w:val="001D6BEA"/>
    <w:rsid w:val="001E1401"/>
    <w:rsid w:val="001E14EE"/>
    <w:rsid w:val="001E15ED"/>
    <w:rsid w:val="001E2733"/>
    <w:rsid w:val="001E56B6"/>
    <w:rsid w:val="001E683D"/>
    <w:rsid w:val="001F0934"/>
    <w:rsid w:val="001F4013"/>
    <w:rsid w:val="00203E14"/>
    <w:rsid w:val="00204C59"/>
    <w:rsid w:val="00211A89"/>
    <w:rsid w:val="00214423"/>
    <w:rsid w:val="00220AF1"/>
    <w:rsid w:val="002213CB"/>
    <w:rsid w:val="0022797C"/>
    <w:rsid w:val="002279FF"/>
    <w:rsid w:val="002303A3"/>
    <w:rsid w:val="00231920"/>
    <w:rsid w:val="00236F16"/>
    <w:rsid w:val="00241777"/>
    <w:rsid w:val="00246284"/>
    <w:rsid w:val="00246786"/>
    <w:rsid w:val="00246AA5"/>
    <w:rsid w:val="00246C8E"/>
    <w:rsid w:val="00247D55"/>
    <w:rsid w:val="0025637A"/>
    <w:rsid w:val="00257B1A"/>
    <w:rsid w:val="00260D8A"/>
    <w:rsid w:val="00262F93"/>
    <w:rsid w:val="00264240"/>
    <w:rsid w:val="00264EFE"/>
    <w:rsid w:val="0027376D"/>
    <w:rsid w:val="00277664"/>
    <w:rsid w:val="002809BA"/>
    <w:rsid w:val="00281871"/>
    <w:rsid w:val="002818AB"/>
    <w:rsid w:val="00281E10"/>
    <w:rsid w:val="00282A59"/>
    <w:rsid w:val="0028480C"/>
    <w:rsid w:val="00286714"/>
    <w:rsid w:val="00286D33"/>
    <w:rsid w:val="00287E76"/>
    <w:rsid w:val="00294EE1"/>
    <w:rsid w:val="00296F36"/>
    <w:rsid w:val="002A42EC"/>
    <w:rsid w:val="002A469C"/>
    <w:rsid w:val="002A57E3"/>
    <w:rsid w:val="002A58E8"/>
    <w:rsid w:val="002A6150"/>
    <w:rsid w:val="002A6516"/>
    <w:rsid w:val="002B15E4"/>
    <w:rsid w:val="002B34B3"/>
    <w:rsid w:val="002B5B71"/>
    <w:rsid w:val="002B75B7"/>
    <w:rsid w:val="002B7971"/>
    <w:rsid w:val="002C08C2"/>
    <w:rsid w:val="002C12C0"/>
    <w:rsid w:val="002C2EB1"/>
    <w:rsid w:val="002C3BA1"/>
    <w:rsid w:val="002C46F8"/>
    <w:rsid w:val="002D018E"/>
    <w:rsid w:val="002D130E"/>
    <w:rsid w:val="002D340C"/>
    <w:rsid w:val="002F1C40"/>
    <w:rsid w:val="002F1C98"/>
    <w:rsid w:val="002F1E20"/>
    <w:rsid w:val="002F544F"/>
    <w:rsid w:val="002F5CDA"/>
    <w:rsid w:val="002F615C"/>
    <w:rsid w:val="0030370E"/>
    <w:rsid w:val="00315122"/>
    <w:rsid w:val="00321D4A"/>
    <w:rsid w:val="00325BC9"/>
    <w:rsid w:val="00325EFB"/>
    <w:rsid w:val="00331302"/>
    <w:rsid w:val="003313C8"/>
    <w:rsid w:val="003333EF"/>
    <w:rsid w:val="00334B06"/>
    <w:rsid w:val="0033581F"/>
    <w:rsid w:val="003372D5"/>
    <w:rsid w:val="00340167"/>
    <w:rsid w:val="003402E5"/>
    <w:rsid w:val="00343D67"/>
    <w:rsid w:val="0034457D"/>
    <w:rsid w:val="00345C0E"/>
    <w:rsid w:val="00345F37"/>
    <w:rsid w:val="00355BD5"/>
    <w:rsid w:val="003563C5"/>
    <w:rsid w:val="00356E0F"/>
    <w:rsid w:val="0035772A"/>
    <w:rsid w:val="003612FB"/>
    <w:rsid w:val="00361975"/>
    <w:rsid w:val="00363ADA"/>
    <w:rsid w:val="00365BD5"/>
    <w:rsid w:val="003748B9"/>
    <w:rsid w:val="00380E01"/>
    <w:rsid w:val="00384AC2"/>
    <w:rsid w:val="00390504"/>
    <w:rsid w:val="00390A24"/>
    <w:rsid w:val="00392B0A"/>
    <w:rsid w:val="0039532E"/>
    <w:rsid w:val="003A563B"/>
    <w:rsid w:val="003A6661"/>
    <w:rsid w:val="003A6FB2"/>
    <w:rsid w:val="003A7CD7"/>
    <w:rsid w:val="003B0667"/>
    <w:rsid w:val="003B139B"/>
    <w:rsid w:val="003B1748"/>
    <w:rsid w:val="003B656F"/>
    <w:rsid w:val="003B7312"/>
    <w:rsid w:val="003C0CAD"/>
    <w:rsid w:val="003C2B66"/>
    <w:rsid w:val="003D02CF"/>
    <w:rsid w:val="003D345F"/>
    <w:rsid w:val="003D5833"/>
    <w:rsid w:val="003D5B44"/>
    <w:rsid w:val="003D710E"/>
    <w:rsid w:val="003E16BF"/>
    <w:rsid w:val="003E59A1"/>
    <w:rsid w:val="003E5A39"/>
    <w:rsid w:val="003F074C"/>
    <w:rsid w:val="003F2B91"/>
    <w:rsid w:val="003F4E32"/>
    <w:rsid w:val="003F6F7F"/>
    <w:rsid w:val="003F74B0"/>
    <w:rsid w:val="003F7918"/>
    <w:rsid w:val="00400612"/>
    <w:rsid w:val="00403EA0"/>
    <w:rsid w:val="00412825"/>
    <w:rsid w:val="00414E1E"/>
    <w:rsid w:val="00415D5F"/>
    <w:rsid w:val="00423EF9"/>
    <w:rsid w:val="004252CC"/>
    <w:rsid w:val="004254BD"/>
    <w:rsid w:val="004402F2"/>
    <w:rsid w:val="004418C3"/>
    <w:rsid w:val="00443875"/>
    <w:rsid w:val="00451F59"/>
    <w:rsid w:val="00454B1A"/>
    <w:rsid w:val="00455408"/>
    <w:rsid w:val="00455C84"/>
    <w:rsid w:val="00462671"/>
    <w:rsid w:val="00466473"/>
    <w:rsid w:val="00467744"/>
    <w:rsid w:val="00472E0D"/>
    <w:rsid w:val="00473B88"/>
    <w:rsid w:val="00474415"/>
    <w:rsid w:val="0047619C"/>
    <w:rsid w:val="00480D9E"/>
    <w:rsid w:val="00481267"/>
    <w:rsid w:val="00482326"/>
    <w:rsid w:val="00482A92"/>
    <w:rsid w:val="004A073A"/>
    <w:rsid w:val="004A1A8E"/>
    <w:rsid w:val="004A6039"/>
    <w:rsid w:val="004A6504"/>
    <w:rsid w:val="004B03C4"/>
    <w:rsid w:val="004B1511"/>
    <w:rsid w:val="004B64F7"/>
    <w:rsid w:val="004B727D"/>
    <w:rsid w:val="004C0752"/>
    <w:rsid w:val="004C3499"/>
    <w:rsid w:val="004C3802"/>
    <w:rsid w:val="004C3AD2"/>
    <w:rsid w:val="004C3BAD"/>
    <w:rsid w:val="004C5698"/>
    <w:rsid w:val="004C67AB"/>
    <w:rsid w:val="004D1F95"/>
    <w:rsid w:val="004D7881"/>
    <w:rsid w:val="004E53C9"/>
    <w:rsid w:val="004E686F"/>
    <w:rsid w:val="004F0AD6"/>
    <w:rsid w:val="004F11F7"/>
    <w:rsid w:val="004F22D0"/>
    <w:rsid w:val="004F3101"/>
    <w:rsid w:val="004F4AD3"/>
    <w:rsid w:val="004F6375"/>
    <w:rsid w:val="004F782B"/>
    <w:rsid w:val="004F79FB"/>
    <w:rsid w:val="005019C8"/>
    <w:rsid w:val="00510837"/>
    <w:rsid w:val="005151BB"/>
    <w:rsid w:val="005178A3"/>
    <w:rsid w:val="00521AB2"/>
    <w:rsid w:val="00521C03"/>
    <w:rsid w:val="00521D2F"/>
    <w:rsid w:val="00522122"/>
    <w:rsid w:val="00523D32"/>
    <w:rsid w:val="00525E5A"/>
    <w:rsid w:val="00526714"/>
    <w:rsid w:val="0052775F"/>
    <w:rsid w:val="00532615"/>
    <w:rsid w:val="005337C6"/>
    <w:rsid w:val="00535AF8"/>
    <w:rsid w:val="0054159A"/>
    <w:rsid w:val="005433EF"/>
    <w:rsid w:val="00545C5D"/>
    <w:rsid w:val="00545F1E"/>
    <w:rsid w:val="00550005"/>
    <w:rsid w:val="005512A6"/>
    <w:rsid w:val="005530E1"/>
    <w:rsid w:val="00556DE3"/>
    <w:rsid w:val="0055775F"/>
    <w:rsid w:val="00567A45"/>
    <w:rsid w:val="005703C2"/>
    <w:rsid w:val="00570592"/>
    <w:rsid w:val="00574589"/>
    <w:rsid w:val="00574859"/>
    <w:rsid w:val="00575EE6"/>
    <w:rsid w:val="005771D6"/>
    <w:rsid w:val="005918DB"/>
    <w:rsid w:val="00594522"/>
    <w:rsid w:val="00596363"/>
    <w:rsid w:val="005A1D4A"/>
    <w:rsid w:val="005A2FBD"/>
    <w:rsid w:val="005A64CC"/>
    <w:rsid w:val="005B03E3"/>
    <w:rsid w:val="005B0C69"/>
    <w:rsid w:val="005B0FF4"/>
    <w:rsid w:val="005B4164"/>
    <w:rsid w:val="005B53B6"/>
    <w:rsid w:val="005B5830"/>
    <w:rsid w:val="005B62A5"/>
    <w:rsid w:val="005C1CFA"/>
    <w:rsid w:val="005C2A0A"/>
    <w:rsid w:val="005C41B4"/>
    <w:rsid w:val="005E2CEC"/>
    <w:rsid w:val="005E2E21"/>
    <w:rsid w:val="005E44FD"/>
    <w:rsid w:val="005E674A"/>
    <w:rsid w:val="005E7229"/>
    <w:rsid w:val="005F032D"/>
    <w:rsid w:val="005F16DF"/>
    <w:rsid w:val="005F19B9"/>
    <w:rsid w:val="005F6EE5"/>
    <w:rsid w:val="005F7E49"/>
    <w:rsid w:val="00600E2B"/>
    <w:rsid w:val="006011F4"/>
    <w:rsid w:val="00601ADD"/>
    <w:rsid w:val="00602D41"/>
    <w:rsid w:val="0060430D"/>
    <w:rsid w:val="00605A9F"/>
    <w:rsid w:val="006147C1"/>
    <w:rsid w:val="006150C3"/>
    <w:rsid w:val="006212CA"/>
    <w:rsid w:val="00623299"/>
    <w:rsid w:val="00635472"/>
    <w:rsid w:val="00640545"/>
    <w:rsid w:val="00643214"/>
    <w:rsid w:val="00644551"/>
    <w:rsid w:val="00645D27"/>
    <w:rsid w:val="00646FC3"/>
    <w:rsid w:val="00657869"/>
    <w:rsid w:val="00663BC9"/>
    <w:rsid w:val="00664DB7"/>
    <w:rsid w:val="00665B33"/>
    <w:rsid w:val="00667580"/>
    <w:rsid w:val="006701B0"/>
    <w:rsid w:val="00670F9D"/>
    <w:rsid w:val="006726D5"/>
    <w:rsid w:val="006803C3"/>
    <w:rsid w:val="00683BFF"/>
    <w:rsid w:val="006857E6"/>
    <w:rsid w:val="00691887"/>
    <w:rsid w:val="006918C2"/>
    <w:rsid w:val="00692614"/>
    <w:rsid w:val="00693A22"/>
    <w:rsid w:val="00693F61"/>
    <w:rsid w:val="006966F3"/>
    <w:rsid w:val="006B11FC"/>
    <w:rsid w:val="006B16BE"/>
    <w:rsid w:val="006B16F1"/>
    <w:rsid w:val="006B29B7"/>
    <w:rsid w:val="006B47F1"/>
    <w:rsid w:val="006B6599"/>
    <w:rsid w:val="006B695F"/>
    <w:rsid w:val="006B7FE6"/>
    <w:rsid w:val="006C2C2E"/>
    <w:rsid w:val="006C4B4D"/>
    <w:rsid w:val="006C4C92"/>
    <w:rsid w:val="006C561A"/>
    <w:rsid w:val="006D3923"/>
    <w:rsid w:val="006D4A62"/>
    <w:rsid w:val="006E0621"/>
    <w:rsid w:val="006E6A69"/>
    <w:rsid w:val="006E6B5B"/>
    <w:rsid w:val="006F2FD5"/>
    <w:rsid w:val="006F5A7F"/>
    <w:rsid w:val="006F68AE"/>
    <w:rsid w:val="006F6E47"/>
    <w:rsid w:val="00701E30"/>
    <w:rsid w:val="007040CE"/>
    <w:rsid w:val="007043C1"/>
    <w:rsid w:val="007045E3"/>
    <w:rsid w:val="00704BE9"/>
    <w:rsid w:val="00710BEC"/>
    <w:rsid w:val="0071270E"/>
    <w:rsid w:val="007128F6"/>
    <w:rsid w:val="00716459"/>
    <w:rsid w:val="007209DA"/>
    <w:rsid w:val="00722587"/>
    <w:rsid w:val="007225E3"/>
    <w:rsid w:val="007257C9"/>
    <w:rsid w:val="00725E25"/>
    <w:rsid w:val="007272BD"/>
    <w:rsid w:val="00735632"/>
    <w:rsid w:val="00744E84"/>
    <w:rsid w:val="007549F3"/>
    <w:rsid w:val="00764EB2"/>
    <w:rsid w:val="00770D86"/>
    <w:rsid w:val="007739A0"/>
    <w:rsid w:val="007778FA"/>
    <w:rsid w:val="00777AA3"/>
    <w:rsid w:val="00782C4E"/>
    <w:rsid w:val="00784E1C"/>
    <w:rsid w:val="00790118"/>
    <w:rsid w:val="00790476"/>
    <w:rsid w:val="0079177E"/>
    <w:rsid w:val="00791E52"/>
    <w:rsid w:val="007948A5"/>
    <w:rsid w:val="00794D29"/>
    <w:rsid w:val="0079664F"/>
    <w:rsid w:val="0079687D"/>
    <w:rsid w:val="007A344E"/>
    <w:rsid w:val="007A4230"/>
    <w:rsid w:val="007B06B4"/>
    <w:rsid w:val="007B4791"/>
    <w:rsid w:val="007B5A0C"/>
    <w:rsid w:val="007B7761"/>
    <w:rsid w:val="007B7EFC"/>
    <w:rsid w:val="007C32E0"/>
    <w:rsid w:val="007C4FC6"/>
    <w:rsid w:val="007C50F5"/>
    <w:rsid w:val="007D3F37"/>
    <w:rsid w:val="007D453E"/>
    <w:rsid w:val="007D5F0C"/>
    <w:rsid w:val="007E2898"/>
    <w:rsid w:val="007E289A"/>
    <w:rsid w:val="007E2F75"/>
    <w:rsid w:val="007E319B"/>
    <w:rsid w:val="007E3ABB"/>
    <w:rsid w:val="007E48D9"/>
    <w:rsid w:val="007E53A4"/>
    <w:rsid w:val="007E59C7"/>
    <w:rsid w:val="007E665A"/>
    <w:rsid w:val="007F28F4"/>
    <w:rsid w:val="007F5A9D"/>
    <w:rsid w:val="007F6493"/>
    <w:rsid w:val="007F6C1E"/>
    <w:rsid w:val="007F7F65"/>
    <w:rsid w:val="00803482"/>
    <w:rsid w:val="00803AD1"/>
    <w:rsid w:val="00803C57"/>
    <w:rsid w:val="0081174E"/>
    <w:rsid w:val="00812700"/>
    <w:rsid w:val="0081455F"/>
    <w:rsid w:val="00817798"/>
    <w:rsid w:val="00817ECD"/>
    <w:rsid w:val="00832761"/>
    <w:rsid w:val="0084169F"/>
    <w:rsid w:val="00845621"/>
    <w:rsid w:val="00852A97"/>
    <w:rsid w:val="00852B73"/>
    <w:rsid w:val="008548DE"/>
    <w:rsid w:val="00860D17"/>
    <w:rsid w:val="00867C60"/>
    <w:rsid w:val="00870D94"/>
    <w:rsid w:val="00872D83"/>
    <w:rsid w:val="0087629E"/>
    <w:rsid w:val="0087658C"/>
    <w:rsid w:val="008766AD"/>
    <w:rsid w:val="00877ABB"/>
    <w:rsid w:val="00884A0D"/>
    <w:rsid w:val="00887C01"/>
    <w:rsid w:val="008947D8"/>
    <w:rsid w:val="008A1E32"/>
    <w:rsid w:val="008A2A75"/>
    <w:rsid w:val="008A3C81"/>
    <w:rsid w:val="008A4227"/>
    <w:rsid w:val="008A5138"/>
    <w:rsid w:val="008A7729"/>
    <w:rsid w:val="008B10FC"/>
    <w:rsid w:val="008B31A4"/>
    <w:rsid w:val="008B36FB"/>
    <w:rsid w:val="008B6288"/>
    <w:rsid w:val="008B65E4"/>
    <w:rsid w:val="008C5C57"/>
    <w:rsid w:val="008C6091"/>
    <w:rsid w:val="008D0692"/>
    <w:rsid w:val="008D391D"/>
    <w:rsid w:val="008D68D5"/>
    <w:rsid w:val="008E682D"/>
    <w:rsid w:val="008F030D"/>
    <w:rsid w:val="008F41B4"/>
    <w:rsid w:val="008F6245"/>
    <w:rsid w:val="008F7E7A"/>
    <w:rsid w:val="00916CC0"/>
    <w:rsid w:val="00917EC5"/>
    <w:rsid w:val="00922CF5"/>
    <w:rsid w:val="00923AD7"/>
    <w:rsid w:val="00926A8E"/>
    <w:rsid w:val="00927B9B"/>
    <w:rsid w:val="009309AA"/>
    <w:rsid w:val="0093259F"/>
    <w:rsid w:val="00936528"/>
    <w:rsid w:val="009376E6"/>
    <w:rsid w:val="00945238"/>
    <w:rsid w:val="00945962"/>
    <w:rsid w:val="009504A5"/>
    <w:rsid w:val="009642C1"/>
    <w:rsid w:val="009643C2"/>
    <w:rsid w:val="00977B50"/>
    <w:rsid w:val="00980804"/>
    <w:rsid w:val="00982E1B"/>
    <w:rsid w:val="00983EDC"/>
    <w:rsid w:val="009A2466"/>
    <w:rsid w:val="009A32D7"/>
    <w:rsid w:val="009A5B77"/>
    <w:rsid w:val="009B1A2C"/>
    <w:rsid w:val="009B2C9B"/>
    <w:rsid w:val="009B30AB"/>
    <w:rsid w:val="009B4518"/>
    <w:rsid w:val="009C42E0"/>
    <w:rsid w:val="009C524F"/>
    <w:rsid w:val="009C67C3"/>
    <w:rsid w:val="009D16F3"/>
    <w:rsid w:val="009D3100"/>
    <w:rsid w:val="009F0B60"/>
    <w:rsid w:val="009F0C8E"/>
    <w:rsid w:val="009F0CD9"/>
    <w:rsid w:val="009F27C3"/>
    <w:rsid w:val="009F48EC"/>
    <w:rsid w:val="009F61C1"/>
    <w:rsid w:val="009F6B30"/>
    <w:rsid w:val="00A027DE"/>
    <w:rsid w:val="00A03541"/>
    <w:rsid w:val="00A04C04"/>
    <w:rsid w:val="00A054E5"/>
    <w:rsid w:val="00A11182"/>
    <w:rsid w:val="00A12DA0"/>
    <w:rsid w:val="00A14BDA"/>
    <w:rsid w:val="00A16A99"/>
    <w:rsid w:val="00A2600B"/>
    <w:rsid w:val="00A311EB"/>
    <w:rsid w:val="00A31B59"/>
    <w:rsid w:val="00A339A5"/>
    <w:rsid w:val="00A348CF"/>
    <w:rsid w:val="00A35D3D"/>
    <w:rsid w:val="00A37C70"/>
    <w:rsid w:val="00A44F9A"/>
    <w:rsid w:val="00A47525"/>
    <w:rsid w:val="00A478FE"/>
    <w:rsid w:val="00A51AC1"/>
    <w:rsid w:val="00A528DC"/>
    <w:rsid w:val="00A5410E"/>
    <w:rsid w:val="00A542FC"/>
    <w:rsid w:val="00A54FB0"/>
    <w:rsid w:val="00A5790A"/>
    <w:rsid w:val="00A64E03"/>
    <w:rsid w:val="00A7128D"/>
    <w:rsid w:val="00A74BC2"/>
    <w:rsid w:val="00A75084"/>
    <w:rsid w:val="00A75F58"/>
    <w:rsid w:val="00A81AD8"/>
    <w:rsid w:val="00A82655"/>
    <w:rsid w:val="00A83648"/>
    <w:rsid w:val="00A8525E"/>
    <w:rsid w:val="00A86286"/>
    <w:rsid w:val="00A87977"/>
    <w:rsid w:val="00A92CF2"/>
    <w:rsid w:val="00A94132"/>
    <w:rsid w:val="00A9517E"/>
    <w:rsid w:val="00A95194"/>
    <w:rsid w:val="00A96884"/>
    <w:rsid w:val="00A96BA1"/>
    <w:rsid w:val="00AA2639"/>
    <w:rsid w:val="00AA2714"/>
    <w:rsid w:val="00AA41E6"/>
    <w:rsid w:val="00AA532B"/>
    <w:rsid w:val="00AA60C0"/>
    <w:rsid w:val="00AA68E4"/>
    <w:rsid w:val="00AB10A2"/>
    <w:rsid w:val="00AB228C"/>
    <w:rsid w:val="00AB44F1"/>
    <w:rsid w:val="00AB7EE1"/>
    <w:rsid w:val="00AC198C"/>
    <w:rsid w:val="00AC5A02"/>
    <w:rsid w:val="00AC61AE"/>
    <w:rsid w:val="00AD0B94"/>
    <w:rsid w:val="00AD20EB"/>
    <w:rsid w:val="00AD4160"/>
    <w:rsid w:val="00AD5FC8"/>
    <w:rsid w:val="00AD74BD"/>
    <w:rsid w:val="00AE07ED"/>
    <w:rsid w:val="00AE6DD9"/>
    <w:rsid w:val="00AF3E03"/>
    <w:rsid w:val="00AF457F"/>
    <w:rsid w:val="00AF5AC3"/>
    <w:rsid w:val="00AF5B51"/>
    <w:rsid w:val="00B0120D"/>
    <w:rsid w:val="00B045C3"/>
    <w:rsid w:val="00B04C11"/>
    <w:rsid w:val="00B1140B"/>
    <w:rsid w:val="00B122AD"/>
    <w:rsid w:val="00B12F75"/>
    <w:rsid w:val="00B179D7"/>
    <w:rsid w:val="00B208D6"/>
    <w:rsid w:val="00B20ED4"/>
    <w:rsid w:val="00B21D57"/>
    <w:rsid w:val="00B22097"/>
    <w:rsid w:val="00B24415"/>
    <w:rsid w:val="00B2517A"/>
    <w:rsid w:val="00B27C08"/>
    <w:rsid w:val="00B50C21"/>
    <w:rsid w:val="00B5413A"/>
    <w:rsid w:val="00B55FCE"/>
    <w:rsid w:val="00B5600D"/>
    <w:rsid w:val="00B57D01"/>
    <w:rsid w:val="00B61FC4"/>
    <w:rsid w:val="00B6388C"/>
    <w:rsid w:val="00B65C41"/>
    <w:rsid w:val="00B70802"/>
    <w:rsid w:val="00B72860"/>
    <w:rsid w:val="00B72CFF"/>
    <w:rsid w:val="00B7384F"/>
    <w:rsid w:val="00B74A43"/>
    <w:rsid w:val="00B75D64"/>
    <w:rsid w:val="00B76EF2"/>
    <w:rsid w:val="00B869BD"/>
    <w:rsid w:val="00B87591"/>
    <w:rsid w:val="00B9150C"/>
    <w:rsid w:val="00B9495A"/>
    <w:rsid w:val="00B954D4"/>
    <w:rsid w:val="00B95EFB"/>
    <w:rsid w:val="00BA3ED2"/>
    <w:rsid w:val="00BA7BAA"/>
    <w:rsid w:val="00BB36F4"/>
    <w:rsid w:val="00BB5F24"/>
    <w:rsid w:val="00BB6CEE"/>
    <w:rsid w:val="00BB78A1"/>
    <w:rsid w:val="00BC0E32"/>
    <w:rsid w:val="00BC23D7"/>
    <w:rsid w:val="00BD276F"/>
    <w:rsid w:val="00BD480B"/>
    <w:rsid w:val="00BD490F"/>
    <w:rsid w:val="00BD5F1C"/>
    <w:rsid w:val="00BD612D"/>
    <w:rsid w:val="00BD622B"/>
    <w:rsid w:val="00BD770E"/>
    <w:rsid w:val="00BD7D04"/>
    <w:rsid w:val="00BE3C16"/>
    <w:rsid w:val="00BE78F0"/>
    <w:rsid w:val="00BE78F2"/>
    <w:rsid w:val="00BF0249"/>
    <w:rsid w:val="00BF4682"/>
    <w:rsid w:val="00BF6C90"/>
    <w:rsid w:val="00BF7D09"/>
    <w:rsid w:val="00C00480"/>
    <w:rsid w:val="00C02140"/>
    <w:rsid w:val="00C03320"/>
    <w:rsid w:val="00C057F8"/>
    <w:rsid w:val="00C078C1"/>
    <w:rsid w:val="00C07AD1"/>
    <w:rsid w:val="00C1322D"/>
    <w:rsid w:val="00C133D7"/>
    <w:rsid w:val="00C14BE4"/>
    <w:rsid w:val="00C1729E"/>
    <w:rsid w:val="00C223E6"/>
    <w:rsid w:val="00C2416F"/>
    <w:rsid w:val="00C2694D"/>
    <w:rsid w:val="00C26A3E"/>
    <w:rsid w:val="00C278A6"/>
    <w:rsid w:val="00C30E37"/>
    <w:rsid w:val="00C30E64"/>
    <w:rsid w:val="00C3185A"/>
    <w:rsid w:val="00C3323B"/>
    <w:rsid w:val="00C34C13"/>
    <w:rsid w:val="00C3606D"/>
    <w:rsid w:val="00C41D3B"/>
    <w:rsid w:val="00C428FF"/>
    <w:rsid w:val="00C43A40"/>
    <w:rsid w:val="00C51EF9"/>
    <w:rsid w:val="00C61DD4"/>
    <w:rsid w:val="00C631CF"/>
    <w:rsid w:val="00C64777"/>
    <w:rsid w:val="00C65E43"/>
    <w:rsid w:val="00C66C85"/>
    <w:rsid w:val="00C67F46"/>
    <w:rsid w:val="00C72A0B"/>
    <w:rsid w:val="00C821CE"/>
    <w:rsid w:val="00C87FE5"/>
    <w:rsid w:val="00C9773E"/>
    <w:rsid w:val="00CB05C6"/>
    <w:rsid w:val="00CB3918"/>
    <w:rsid w:val="00CB711B"/>
    <w:rsid w:val="00CC1049"/>
    <w:rsid w:val="00CC2ECA"/>
    <w:rsid w:val="00CD00B9"/>
    <w:rsid w:val="00CD53EB"/>
    <w:rsid w:val="00CE0BA7"/>
    <w:rsid w:val="00CE16F1"/>
    <w:rsid w:val="00CE1A26"/>
    <w:rsid w:val="00CE31A4"/>
    <w:rsid w:val="00CE35F5"/>
    <w:rsid w:val="00CE3DE4"/>
    <w:rsid w:val="00CE6FEF"/>
    <w:rsid w:val="00CF27C4"/>
    <w:rsid w:val="00CF5EDD"/>
    <w:rsid w:val="00D01175"/>
    <w:rsid w:val="00D02F78"/>
    <w:rsid w:val="00D035B3"/>
    <w:rsid w:val="00D03FAF"/>
    <w:rsid w:val="00D072C2"/>
    <w:rsid w:val="00D1013C"/>
    <w:rsid w:val="00D11B22"/>
    <w:rsid w:val="00D12938"/>
    <w:rsid w:val="00D12EF0"/>
    <w:rsid w:val="00D135D2"/>
    <w:rsid w:val="00D239AB"/>
    <w:rsid w:val="00D24B53"/>
    <w:rsid w:val="00D2507C"/>
    <w:rsid w:val="00D2544E"/>
    <w:rsid w:val="00D2598A"/>
    <w:rsid w:val="00D27A78"/>
    <w:rsid w:val="00D30E0A"/>
    <w:rsid w:val="00D31471"/>
    <w:rsid w:val="00D32461"/>
    <w:rsid w:val="00D32C8A"/>
    <w:rsid w:val="00D33A84"/>
    <w:rsid w:val="00D418D3"/>
    <w:rsid w:val="00D500A2"/>
    <w:rsid w:val="00D510EE"/>
    <w:rsid w:val="00D57BE6"/>
    <w:rsid w:val="00D66D6A"/>
    <w:rsid w:val="00D72E27"/>
    <w:rsid w:val="00D75D22"/>
    <w:rsid w:val="00D805E0"/>
    <w:rsid w:val="00D8377E"/>
    <w:rsid w:val="00D83A34"/>
    <w:rsid w:val="00D84DE6"/>
    <w:rsid w:val="00D860C8"/>
    <w:rsid w:val="00D8620E"/>
    <w:rsid w:val="00D910DD"/>
    <w:rsid w:val="00DA1A6C"/>
    <w:rsid w:val="00DA4B95"/>
    <w:rsid w:val="00DA73C2"/>
    <w:rsid w:val="00DB53C7"/>
    <w:rsid w:val="00DB7A1B"/>
    <w:rsid w:val="00DC3255"/>
    <w:rsid w:val="00DD0E7A"/>
    <w:rsid w:val="00DD652B"/>
    <w:rsid w:val="00DD6C24"/>
    <w:rsid w:val="00DE35CC"/>
    <w:rsid w:val="00DE7495"/>
    <w:rsid w:val="00DF556A"/>
    <w:rsid w:val="00DF5D5D"/>
    <w:rsid w:val="00E00730"/>
    <w:rsid w:val="00E01F26"/>
    <w:rsid w:val="00E02677"/>
    <w:rsid w:val="00E02E17"/>
    <w:rsid w:val="00E0405A"/>
    <w:rsid w:val="00E0769D"/>
    <w:rsid w:val="00E11CEC"/>
    <w:rsid w:val="00E12C66"/>
    <w:rsid w:val="00E22559"/>
    <w:rsid w:val="00E22B8D"/>
    <w:rsid w:val="00E26530"/>
    <w:rsid w:val="00E276E8"/>
    <w:rsid w:val="00E30F4F"/>
    <w:rsid w:val="00E30F6D"/>
    <w:rsid w:val="00E33C78"/>
    <w:rsid w:val="00E344B0"/>
    <w:rsid w:val="00E3657C"/>
    <w:rsid w:val="00E366B2"/>
    <w:rsid w:val="00E37916"/>
    <w:rsid w:val="00E4132A"/>
    <w:rsid w:val="00E42A31"/>
    <w:rsid w:val="00E4569D"/>
    <w:rsid w:val="00E4575B"/>
    <w:rsid w:val="00E469E6"/>
    <w:rsid w:val="00E51ECB"/>
    <w:rsid w:val="00E53469"/>
    <w:rsid w:val="00E53B93"/>
    <w:rsid w:val="00E53F58"/>
    <w:rsid w:val="00E5756A"/>
    <w:rsid w:val="00E57CA7"/>
    <w:rsid w:val="00E6195C"/>
    <w:rsid w:val="00E6335F"/>
    <w:rsid w:val="00E633F7"/>
    <w:rsid w:val="00E63A16"/>
    <w:rsid w:val="00E65F81"/>
    <w:rsid w:val="00E71C94"/>
    <w:rsid w:val="00E72786"/>
    <w:rsid w:val="00E750F3"/>
    <w:rsid w:val="00E766DA"/>
    <w:rsid w:val="00E77E6B"/>
    <w:rsid w:val="00E83CB3"/>
    <w:rsid w:val="00E91023"/>
    <w:rsid w:val="00E97DD1"/>
    <w:rsid w:val="00EA0088"/>
    <w:rsid w:val="00EA51DE"/>
    <w:rsid w:val="00EA59D8"/>
    <w:rsid w:val="00EB0653"/>
    <w:rsid w:val="00EB0715"/>
    <w:rsid w:val="00EB3383"/>
    <w:rsid w:val="00EB5ACF"/>
    <w:rsid w:val="00EC0C34"/>
    <w:rsid w:val="00EC31A4"/>
    <w:rsid w:val="00EC5750"/>
    <w:rsid w:val="00EC67B9"/>
    <w:rsid w:val="00EC7A27"/>
    <w:rsid w:val="00ED0771"/>
    <w:rsid w:val="00ED352D"/>
    <w:rsid w:val="00ED63A7"/>
    <w:rsid w:val="00ED6936"/>
    <w:rsid w:val="00ED6DC6"/>
    <w:rsid w:val="00EE2471"/>
    <w:rsid w:val="00EE469B"/>
    <w:rsid w:val="00EE4F12"/>
    <w:rsid w:val="00EF16BA"/>
    <w:rsid w:val="00EF2D0B"/>
    <w:rsid w:val="00EF4AF3"/>
    <w:rsid w:val="00EF61D1"/>
    <w:rsid w:val="00EF7E34"/>
    <w:rsid w:val="00F00A66"/>
    <w:rsid w:val="00F016EB"/>
    <w:rsid w:val="00F03424"/>
    <w:rsid w:val="00F03F98"/>
    <w:rsid w:val="00F04910"/>
    <w:rsid w:val="00F05422"/>
    <w:rsid w:val="00F17B4B"/>
    <w:rsid w:val="00F204D1"/>
    <w:rsid w:val="00F210E8"/>
    <w:rsid w:val="00F24380"/>
    <w:rsid w:val="00F25545"/>
    <w:rsid w:val="00F2564A"/>
    <w:rsid w:val="00F31727"/>
    <w:rsid w:val="00F32370"/>
    <w:rsid w:val="00F4091A"/>
    <w:rsid w:val="00F439A5"/>
    <w:rsid w:val="00F46E3B"/>
    <w:rsid w:val="00F473CC"/>
    <w:rsid w:val="00F47531"/>
    <w:rsid w:val="00F51406"/>
    <w:rsid w:val="00F51BC7"/>
    <w:rsid w:val="00F61200"/>
    <w:rsid w:val="00F61312"/>
    <w:rsid w:val="00F650AC"/>
    <w:rsid w:val="00F65271"/>
    <w:rsid w:val="00F67F07"/>
    <w:rsid w:val="00F75736"/>
    <w:rsid w:val="00F76077"/>
    <w:rsid w:val="00F7693B"/>
    <w:rsid w:val="00F769F3"/>
    <w:rsid w:val="00F8302B"/>
    <w:rsid w:val="00F86A3F"/>
    <w:rsid w:val="00F92DF5"/>
    <w:rsid w:val="00F96F37"/>
    <w:rsid w:val="00FA15A5"/>
    <w:rsid w:val="00FA3B8F"/>
    <w:rsid w:val="00FA614F"/>
    <w:rsid w:val="00FA7325"/>
    <w:rsid w:val="00FB0A39"/>
    <w:rsid w:val="00FB0C63"/>
    <w:rsid w:val="00FB5BAB"/>
    <w:rsid w:val="00FB69FD"/>
    <w:rsid w:val="00FB72A9"/>
    <w:rsid w:val="00FB7B41"/>
    <w:rsid w:val="00FC0811"/>
    <w:rsid w:val="00FC230A"/>
    <w:rsid w:val="00FC240A"/>
    <w:rsid w:val="00FC5A6F"/>
    <w:rsid w:val="00FC7082"/>
    <w:rsid w:val="00FD1B1D"/>
    <w:rsid w:val="00FD2E11"/>
    <w:rsid w:val="00FD608C"/>
    <w:rsid w:val="00FE6577"/>
    <w:rsid w:val="00FF4FA7"/>
    <w:rsid w:val="00FF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B2D08"/>
  <w15:chartTrackingRefBased/>
  <w15:docId w15:val="{00F9CA43-EACF-450A-A935-6CED22BA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A469C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A469C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A469C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A469C"/>
    <w:rPr>
      <w:rFonts w:ascii="Calibri" w:hAnsi="Calibri" w:cs="Calibri"/>
      <w:noProof/>
    </w:rPr>
  </w:style>
  <w:style w:type="paragraph" w:styleId="ListParagraph">
    <w:name w:val="List Paragraph"/>
    <w:basedOn w:val="Normal"/>
    <w:uiPriority w:val="34"/>
    <w:qFormat/>
    <w:rsid w:val="008D39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1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1A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1A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AD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575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756A"/>
    <w:rPr>
      <w:color w:val="605E5C"/>
      <w:shd w:val="clear" w:color="auto" w:fill="E1DFDD"/>
    </w:rPr>
  </w:style>
  <w:style w:type="paragraph" w:customStyle="1" w:styleId="MDPI13authornames">
    <w:name w:val="MDPI_1.3_authornames"/>
    <w:next w:val="Normal"/>
    <w:qFormat/>
    <w:rsid w:val="003D710E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B5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00D"/>
  </w:style>
  <w:style w:type="paragraph" w:styleId="Footer">
    <w:name w:val="footer"/>
    <w:basedOn w:val="Normal"/>
    <w:link w:val="FooterChar"/>
    <w:uiPriority w:val="99"/>
    <w:unhideWhenUsed/>
    <w:rsid w:val="00B560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00D"/>
  </w:style>
  <w:style w:type="table" w:styleId="TableGrid">
    <w:name w:val="Table Grid"/>
    <w:basedOn w:val="TableNormal"/>
    <w:uiPriority w:val="39"/>
    <w:rsid w:val="00FC5A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aranathaedu-my.sharepoint.com/personal/ardo_sanjaya_med_maranatha_edu/Documents/Research/IJMS/Spandidos%20-%20Copy/Prospets%20Validatio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Body Weight Validation of Prospets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Sheet1!$D$17</c:f>
              <c:strCache>
                <c:ptCount val="1"/>
                <c:pt idx="0">
                  <c:v>Week 1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Sheet1!$D$19</c:f>
                <c:numCache>
                  <c:formatCode>General</c:formatCode>
                  <c:ptCount val="1"/>
                  <c:pt idx="0">
                    <c:v>13.16015565902231</c:v>
                  </c:pt>
                </c:numCache>
              </c:numRef>
            </c:plus>
            <c:minus>
              <c:numRef>
                <c:f>Sheet1!$D$19</c:f>
                <c:numCache>
                  <c:formatCode>General</c:formatCode>
                  <c:ptCount val="1"/>
                  <c:pt idx="0">
                    <c:v>13.16015565902231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Sheet1!$C$18</c:f>
              <c:strCache>
                <c:ptCount val="1"/>
                <c:pt idx="0">
                  <c:v>Body Weight</c:v>
                </c:pt>
              </c:strCache>
            </c:strRef>
          </c:cat>
          <c:val>
            <c:numRef>
              <c:f>Sheet1!$D$18</c:f>
              <c:numCache>
                <c:formatCode>General</c:formatCode>
                <c:ptCount val="1"/>
                <c:pt idx="0">
                  <c:v>208.06666666666669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D96-4727-9A21-89A331D8F182}"/>
            </c:ext>
          </c:extLst>
        </c:ser>
        <c:ser>
          <c:idx val="1"/>
          <c:order val="1"/>
          <c:tx>
            <c:strRef>
              <c:f>Sheet1!$E$17</c:f>
              <c:strCache>
                <c:ptCount val="1"/>
                <c:pt idx="0">
                  <c:v>Week 2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Sheet1!$E$19</c:f>
                <c:numCache>
                  <c:formatCode>General</c:formatCode>
                  <c:ptCount val="1"/>
                  <c:pt idx="0">
                    <c:v>13.452506243909506</c:v>
                  </c:pt>
                </c:numCache>
              </c:numRef>
            </c:plus>
            <c:minus>
              <c:numRef>
                <c:f>Sheet1!$E$19</c:f>
                <c:numCache>
                  <c:formatCode>General</c:formatCode>
                  <c:ptCount val="1"/>
                  <c:pt idx="0">
                    <c:v>13.452506243909506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Sheet1!$C$18</c:f>
              <c:strCache>
                <c:ptCount val="1"/>
                <c:pt idx="0">
                  <c:v>Body Weight</c:v>
                </c:pt>
              </c:strCache>
            </c:strRef>
          </c:cat>
          <c:val>
            <c:numRef>
              <c:f>Sheet1!$E$18</c:f>
              <c:numCache>
                <c:formatCode>General</c:formatCode>
                <c:ptCount val="1"/>
                <c:pt idx="0">
                  <c:v>210.64166666666665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D96-4727-9A21-89A331D8F182}"/>
            </c:ext>
          </c:extLst>
        </c:ser>
        <c:ser>
          <c:idx val="2"/>
          <c:order val="2"/>
          <c:tx>
            <c:strRef>
              <c:f>Sheet1!$F$17</c:f>
              <c:strCache>
                <c:ptCount val="1"/>
                <c:pt idx="0">
                  <c:v>Week 4</c:v>
                </c:pt>
              </c:strCache>
            </c:strRef>
          </c:tx>
          <c:spPr>
            <a:solidFill>
              <a:schemeClr val="dk1">
                <a:tint val="75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Sheet1!$F$19</c:f>
                <c:numCache>
                  <c:formatCode>General</c:formatCode>
                  <c:ptCount val="1"/>
                  <c:pt idx="0">
                    <c:v>12.399963343054324</c:v>
                  </c:pt>
                </c:numCache>
              </c:numRef>
            </c:plus>
            <c:minus>
              <c:numRef>
                <c:f>Sheet1!$F$19</c:f>
                <c:numCache>
                  <c:formatCode>General</c:formatCode>
                  <c:ptCount val="1"/>
                  <c:pt idx="0">
                    <c:v>12.399963343054324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Sheet1!$C$18</c:f>
              <c:strCache>
                <c:ptCount val="1"/>
                <c:pt idx="0">
                  <c:v>Body Weight</c:v>
                </c:pt>
              </c:strCache>
            </c:strRef>
          </c:cat>
          <c:val>
            <c:numRef>
              <c:f>Sheet1!$F$18</c:f>
              <c:numCache>
                <c:formatCode>General</c:formatCode>
                <c:ptCount val="1"/>
                <c:pt idx="0">
                  <c:v>216.75000000000003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D96-4727-9A21-89A331D8F182}"/>
            </c:ext>
          </c:extLst>
        </c:ser>
        <c:ser>
          <c:idx val="3"/>
          <c:order val="3"/>
          <c:tx>
            <c:strRef>
              <c:f>Sheet1!$G$17</c:f>
              <c:strCache>
                <c:ptCount val="1"/>
                <c:pt idx="0">
                  <c:v>Week 6</c:v>
                </c:pt>
              </c:strCache>
            </c:strRef>
          </c:tx>
          <c:spPr>
            <a:solidFill>
              <a:schemeClr val="dk1">
                <a:tint val="985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Sheet1!$G$19</c:f>
                <c:numCache>
                  <c:formatCode>General</c:formatCode>
                  <c:ptCount val="1"/>
                  <c:pt idx="0">
                    <c:v>18.675969002486003</c:v>
                  </c:pt>
                </c:numCache>
              </c:numRef>
            </c:plus>
            <c:minus>
              <c:numRef>
                <c:f>Sheet1!$G$19</c:f>
                <c:numCache>
                  <c:formatCode>General</c:formatCode>
                  <c:ptCount val="1"/>
                  <c:pt idx="0">
                    <c:v>18.675969002486003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Sheet1!$C$18</c:f>
              <c:strCache>
                <c:ptCount val="1"/>
                <c:pt idx="0">
                  <c:v>Body Weight</c:v>
                </c:pt>
              </c:strCache>
            </c:strRef>
          </c:cat>
          <c:val>
            <c:numRef>
              <c:f>Sheet1!$G$18</c:f>
              <c:numCache>
                <c:formatCode>General</c:formatCode>
                <c:ptCount val="1"/>
                <c:pt idx="0">
                  <c:v>262.45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D96-4727-9A21-89A331D8F182}"/>
            </c:ext>
          </c:extLst>
        </c:ser>
        <c:ser>
          <c:idx val="4"/>
          <c:order val="4"/>
          <c:tx>
            <c:strRef>
              <c:f>Sheet1!$H$17</c:f>
              <c:strCache>
                <c:ptCount val="1"/>
                <c:pt idx="0">
                  <c:v>Week 8 </c:v>
                </c:pt>
              </c:strCache>
            </c:strRef>
          </c:tx>
          <c:spPr>
            <a:solidFill>
              <a:schemeClr val="dk1">
                <a:tint val="3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Sheet1!$H$19</c:f>
                <c:numCache>
                  <c:formatCode>General</c:formatCode>
                  <c:ptCount val="1"/>
                  <c:pt idx="0">
                    <c:v>18.40488242205576</c:v>
                  </c:pt>
                </c:numCache>
              </c:numRef>
            </c:plus>
            <c:minus>
              <c:numRef>
                <c:f>Sheet1!$H$19</c:f>
                <c:numCache>
                  <c:formatCode>General</c:formatCode>
                  <c:ptCount val="1"/>
                  <c:pt idx="0">
                    <c:v>18.40488242205576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Sheet1!$C$18</c:f>
              <c:strCache>
                <c:ptCount val="1"/>
                <c:pt idx="0">
                  <c:v>Body Weight</c:v>
                </c:pt>
              </c:strCache>
            </c:strRef>
          </c:cat>
          <c:val>
            <c:numRef>
              <c:f>Sheet1!$H$18</c:f>
              <c:numCache>
                <c:formatCode>General</c:formatCode>
                <c:ptCount val="1"/>
                <c:pt idx="0">
                  <c:v>258.21666666666664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D96-4727-9A21-89A331D8F182}"/>
            </c:ext>
          </c:extLst>
        </c:ser>
        <c:ser>
          <c:idx val="5"/>
          <c:order val="5"/>
          <c:tx>
            <c:strRef>
              <c:f>Sheet1!$I$17</c:f>
              <c:strCache>
                <c:ptCount val="1"/>
                <c:pt idx="0">
                  <c:v>Week 10</c:v>
                </c:pt>
              </c:strCache>
            </c:strRef>
          </c:tx>
          <c:spPr>
            <a:solidFill>
              <a:schemeClr val="dk1">
                <a:tint val="6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Sheet1!$I$19</c:f>
                <c:numCache>
                  <c:formatCode>General</c:formatCode>
                  <c:ptCount val="1"/>
                  <c:pt idx="0">
                    <c:v>20.58380320896638</c:v>
                  </c:pt>
                </c:numCache>
              </c:numRef>
            </c:plus>
            <c:minus>
              <c:numRef>
                <c:f>Sheet1!$I$19</c:f>
                <c:numCache>
                  <c:formatCode>General</c:formatCode>
                  <c:ptCount val="1"/>
                  <c:pt idx="0">
                    <c:v>20.58380320896638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Sheet1!$C$18</c:f>
              <c:strCache>
                <c:ptCount val="1"/>
                <c:pt idx="0">
                  <c:v>Body Weight</c:v>
                </c:pt>
              </c:strCache>
            </c:strRef>
          </c:cat>
          <c:val>
            <c:numRef>
              <c:f>Sheet1!$I$18</c:f>
              <c:numCache>
                <c:formatCode>General</c:formatCode>
                <c:ptCount val="1"/>
                <c:pt idx="0">
                  <c:v>253.67499999999995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CD96-4727-9A21-89A331D8F182}"/>
            </c:ext>
          </c:extLst>
        </c:ser>
        <c:ser>
          <c:idx val="6"/>
          <c:order val="6"/>
          <c:tx>
            <c:strRef>
              <c:f>Sheet1!$J$17</c:f>
              <c:strCache>
                <c:ptCount val="1"/>
                <c:pt idx="0">
                  <c:v>Week 12</c:v>
                </c:pt>
              </c:strCache>
            </c:strRef>
          </c:tx>
          <c:spPr>
            <a:solidFill>
              <a:schemeClr val="dk1">
                <a:tint val="80000"/>
              </a:schemeClr>
            </a:solidFill>
            <a:ln>
              <a:noFill/>
            </a:ln>
            <a:effectLst/>
          </c:spPr>
          <c:invertIfNegative val="0"/>
          <c:errBars>
            <c:errBarType val="both"/>
            <c:errValType val="cust"/>
            <c:noEndCap val="0"/>
            <c:plus>
              <c:numRef>
                <c:f>Sheet1!$J$19</c:f>
                <c:numCache>
                  <c:formatCode>General</c:formatCode>
                  <c:ptCount val="1"/>
                  <c:pt idx="0">
                    <c:v>20.679209292661483</c:v>
                  </c:pt>
                </c:numCache>
              </c:numRef>
            </c:plus>
            <c:minus>
              <c:numRef>
                <c:f>Sheet1!$J$19</c:f>
                <c:numCache>
                  <c:formatCode>General</c:formatCode>
                  <c:ptCount val="1"/>
                  <c:pt idx="0">
                    <c:v>20.679209292661483</c:v>
                  </c:pt>
                </c:numCache>
              </c:numRef>
            </c:minus>
            <c:spPr>
              <a:noFill/>
              <a:ln w="25400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Sheet1!$C$18</c:f>
              <c:strCache>
                <c:ptCount val="1"/>
                <c:pt idx="0">
                  <c:v>Body Weight</c:v>
                </c:pt>
              </c:strCache>
            </c:strRef>
          </c:cat>
          <c:val>
            <c:numRef>
              <c:f>Sheet1!$J$18</c:f>
              <c:numCache>
                <c:formatCode>General</c:formatCode>
                <c:ptCount val="1"/>
                <c:pt idx="0">
                  <c:v>272.13333333333338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D96-4727-9A21-89A331D8F1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1717136"/>
        <c:axId val="321717528"/>
      </c:barChart>
      <c:catAx>
        <c:axId val="3217171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21717528"/>
        <c:crosses val="autoZero"/>
        <c:auto val="1"/>
        <c:lblAlgn val="ctr"/>
        <c:lblOffset val="100"/>
        <c:noMultiLvlLbl val="0"/>
      </c:catAx>
      <c:valAx>
        <c:axId val="321717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Body</a:t>
                </a:r>
                <a:r>
                  <a:rPr lang="en-US" baseline="0"/>
                  <a:t> Weight (grams)</a:t>
                </a:r>
                <a:endParaRPr lang="en-US"/>
              </a:p>
            </c:rich>
          </c:tx>
          <c:layout/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171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E6FFF-9346-4213-976C-159EDEEC5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Ardo S</dc:creator>
  <cp:keywords/>
  <dc:description/>
  <cp:lastModifiedBy>Devendran S</cp:lastModifiedBy>
  <cp:revision>2</cp:revision>
  <dcterms:created xsi:type="dcterms:W3CDTF">2023-03-02T11:26:00Z</dcterms:created>
  <dcterms:modified xsi:type="dcterms:W3CDTF">2023-03-02T11:26:00Z</dcterms:modified>
</cp:coreProperties>
</file>