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57" w:rsidRDefault="00532257" w:rsidP="00532257">
      <w:pPr>
        <w:spacing w:after="6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12DFD8" wp14:editId="302220DC">
            <wp:extent cx="4107247" cy="2998267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10" cy="3011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257" w:rsidRDefault="00532257" w:rsidP="00532257">
      <w:pPr>
        <w:spacing w:after="6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Figure </w:t>
      </w:r>
      <w:r w:rsidR="001007BA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. Oxidation of alanine tends to increase upon dietary restriction, but not significantly. Oxidation of cysteine does not increase upon dietary restriction. Equimolar amounts of </w:t>
      </w:r>
      <w:r w:rsidRPr="00B07A99">
        <w:rPr>
          <w:rFonts w:ascii="Arial" w:hAnsi="Arial" w:cs="Arial"/>
          <w:vertAlign w:val="superscript"/>
        </w:rPr>
        <w:t>13</w:t>
      </w:r>
      <w:r>
        <w:rPr>
          <w:rFonts w:ascii="Arial" w:hAnsi="Arial" w:cs="Arial"/>
        </w:rPr>
        <w:t>C-labeled alanine or cysteine were offered in this study, so alanine was oxidized ~5-fold more than cysteine. We view the increased oxidation of BCAAs upon dietary restriction as typical, but not universal, among amino acids</w:t>
      </w:r>
      <w:r w:rsidRPr="002A2F9C">
        <w:rPr>
          <w:rFonts w:ascii="Arial" w:hAnsi="Arial" w:cs="Arial"/>
        </w:rPr>
        <w:t>. Error bars are one Standard Error.</w:t>
      </w:r>
      <w:r>
        <w:rPr>
          <w:rFonts w:ascii="Arial" w:hAnsi="Arial" w:cs="Arial"/>
        </w:rPr>
        <w:t xml:space="preserve"> </w:t>
      </w:r>
    </w:p>
    <w:p w:rsidR="00944440" w:rsidRDefault="001007BA"/>
    <w:sectPr w:rsidR="0094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57"/>
    <w:rsid w:val="000227A4"/>
    <w:rsid w:val="00026670"/>
    <w:rsid w:val="001007BA"/>
    <w:rsid w:val="005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9F2C"/>
  <w15:chartTrackingRefBased/>
  <w15:docId w15:val="{3E7E72E9-2E96-4159-BDBA-5B0FEE4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2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Hatle, John</dc:creator>
  <cp:keywords/>
  <dc:description/>
  <cp:lastModifiedBy>Hatle, John</cp:lastModifiedBy>
  <cp:revision>2</cp:revision>
  <dcterms:created xsi:type="dcterms:W3CDTF">2019-11-13T20:07:00Z</dcterms:created>
  <dcterms:modified xsi:type="dcterms:W3CDTF">2019-11-13T20:13:00Z</dcterms:modified>
</cp:coreProperties>
</file>