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4C" w:rsidRPr="00890DDE" w:rsidRDefault="007B744C" w:rsidP="007B744C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890DDE">
        <w:rPr>
          <w:rFonts w:ascii="Calibri" w:eastAsia="Calibri" w:hAnsi="Calibri"/>
          <w:b/>
          <w:bCs/>
          <w:sz w:val="22"/>
          <w:szCs w:val="22"/>
        </w:rPr>
        <w:t>Supplementary Table:</w:t>
      </w:r>
      <w:r w:rsidRPr="00890DDE">
        <w:rPr>
          <w:rFonts w:ascii="Calibri" w:eastAsia="Calibri" w:hAnsi="Calibri"/>
          <w:b/>
          <w:sz w:val="22"/>
          <w:szCs w:val="22"/>
        </w:rPr>
        <w:t xml:space="preserve"> Studies included in this review, grouped according to broad diagnostic criteria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1049"/>
        <w:gridCol w:w="1502"/>
        <w:gridCol w:w="1199"/>
        <w:gridCol w:w="2914"/>
      </w:tblGrid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Citation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FMD group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Studied</w:t>
            </w:r>
          </w:p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phenotype(s)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Broad diagnostic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Specific diagnostic</w:t>
            </w:r>
          </w:p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criteria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tcBorders>
              <w:bottom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size (n)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criteria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tcBorders>
              <w:top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Milanov 2001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allows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Milanov 2002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29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allows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McAuley &amp; Rothwell, 2004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25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Raethjen et al., 2004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5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Piboolnurak et al., 2005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22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Benaderette et al., 2006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9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Espay et al., 2006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dystonia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Seignourel et al., 2007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12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Quartarone et al., 2009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dystonia 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allows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890DDE" w:rsidRDefault="007B744C" w:rsidP="00E53CBC">
            <w:pPr>
              <w:rPr>
                <w:rFonts w:ascii="Calibri" w:eastAsia="Calibri" w:hAnsi="Calibri"/>
                <w:lang w:val="nl-NL"/>
              </w:rPr>
            </w:pPr>
            <w:r w:rsidRPr="00890DDE">
              <w:rPr>
                <w:rFonts w:ascii="Calibri" w:eastAsia="Calibri" w:hAnsi="Calibri"/>
                <w:lang w:val="nl-NL"/>
              </w:rPr>
              <w:t>van der Salm et al., 2010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34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myoclonus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allows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Voon et al., 2010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8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Czarnecki et al., 2011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5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Edwards et al., 2011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9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Morgante et al., 2011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dystonia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Schwingenschuh et al., 2011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13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allows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890DDE" w:rsidRDefault="007B744C" w:rsidP="00E53CBC">
            <w:pPr>
              <w:rPr>
                <w:rFonts w:ascii="Calibri" w:eastAsia="Calibri" w:hAnsi="Calibri"/>
                <w:lang w:val="nl-NL"/>
              </w:rPr>
            </w:pPr>
            <w:r w:rsidRPr="00890DDE">
              <w:rPr>
                <w:rFonts w:ascii="Calibri" w:eastAsia="Calibri" w:hAnsi="Calibri"/>
                <w:lang w:val="nl-NL"/>
              </w:rPr>
              <w:t>van der Salm et al., 2012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29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myoclonus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Kranick et al., 2013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Schrag et al., 2013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6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dystonia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GL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Voon et al., 2013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30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Macerollo et al., 2015a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9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dystonia 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Macerollo et al., 2015b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17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Maurer et al., 2016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35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Schwingenschuh et al., 2016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24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allows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Dreissen et al., 2017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17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myoclonus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allows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Nahab et al., 2017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21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allows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Espay et al., 2018a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12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dystonia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Espay, et al., 2018b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27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EL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Maurer et al., 2018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48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Teodoro et al., 2018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21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GL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Espay et al., 2019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15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EL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Sojka et al., 2019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15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Canu et al., 2020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12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dystonia 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GL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Teodoro et al., 2020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lastRenderedPageBreak/>
              <w:t>Tomic et al., 2020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44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dystonia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GL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Vuilleumier et al., 2001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7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Roelofs et al., 2002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6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Atmaca et al., 2006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12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Burgmer et al., 2006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4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Roelofs et al., 2006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6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de Lange et al., 2007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8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Stone et al., 2007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4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de Lange et al., 2008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7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Liepert et al., 2008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4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Morita et al., 2008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Liepert et al., 2009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8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de Lange et al., 2010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8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Blakemore et al., 2013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6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Aybek et al., 2014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15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Nicholson et al., 2014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15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Blakemore et al., 2015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6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Stins et al., 2015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12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Blakemore et al., 2016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Hassa et al., 2016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13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Bègue et al., 2018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Wegrzyk et al., 2018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53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Zito et al., 2019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9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Diez et al., 2021a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32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DSM-V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 xml:space="preserve">Diez et al., 2021b 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30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 &amp; 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 &amp; 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Voon et al., 2011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11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FW &amp; DSM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DSM-IV &amp; FW- excludes 'probable'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Kumru et al., 2004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11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Author created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Kumru et al., 2007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8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Deuschl et al. (1998)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Tinazzi et al., 2008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Author created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Liepert et al., 2011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Author created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van Beilen et al., 2011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9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Author created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Diukova et al., 2013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4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Author created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Erro et al., 2013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65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myoclonus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Unspecified criteria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Wolfsegger et al., 2013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12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Author created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Brum et al., 2015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5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Author created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van der Stouwe et al., 2015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19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Author created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Meppelink et al., 2016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myoclonus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Unspecified criteria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lastRenderedPageBreak/>
              <w:t>van der Stouwe et al., 2016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50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Unspecified criteria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Hassa et al., 2017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13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ICD-10 criteria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Premi et al., 2017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4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Multiple scales used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Zutt et al., 2017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40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myoclonus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Author created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Beudel et al., 2018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29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myoclonus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Kojovic et al. (2011)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Kramer et al., 2018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26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tremor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Author created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Monsa et al., 2018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7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Unspecified criteria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Benussi et al., 2020</w:t>
            </w:r>
          </w:p>
        </w:tc>
        <w:tc>
          <w:tcPr>
            <w:tcW w:w="1057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20</w:t>
            </w:r>
          </w:p>
        </w:tc>
        <w:tc>
          <w:tcPr>
            <w:tcW w:w="1443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paralysis</w:t>
            </w:r>
          </w:p>
        </w:tc>
        <w:tc>
          <w:tcPr>
            <w:tcW w:w="120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Composite of MMPI, Symptom Rating Scale</w:t>
            </w:r>
          </w:p>
        </w:tc>
      </w:tr>
      <w:tr w:rsidR="007B744C" w:rsidRPr="007A3B09" w:rsidTr="00E53CBC">
        <w:trPr>
          <w:trHeight w:val="315"/>
        </w:trPr>
        <w:tc>
          <w:tcPr>
            <w:tcW w:w="2720" w:type="dxa"/>
            <w:tcBorders>
              <w:bottom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Huys et al., 2020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30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mixed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Other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noWrap/>
            <w:hideMark/>
          </w:tcPr>
          <w:p w:rsidR="007B744C" w:rsidRPr="007A3B09" w:rsidRDefault="007B744C" w:rsidP="00E53CBC">
            <w:pPr>
              <w:rPr>
                <w:rFonts w:ascii="Calibri" w:eastAsia="Calibri" w:hAnsi="Calibri"/>
              </w:rPr>
            </w:pPr>
            <w:r w:rsidRPr="007A3B09">
              <w:rPr>
                <w:rFonts w:ascii="Calibri" w:eastAsia="Calibri" w:hAnsi="Calibri"/>
              </w:rPr>
              <w:t>Unspecified patient referral criteria</w:t>
            </w:r>
          </w:p>
        </w:tc>
      </w:tr>
    </w:tbl>
    <w:p w:rsidR="007B744C" w:rsidRPr="007A3B09" w:rsidRDefault="007B744C" w:rsidP="007B744C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A3B09">
        <w:rPr>
          <w:rFonts w:ascii="Calibri" w:eastAsia="Calibri" w:hAnsi="Calibri"/>
          <w:sz w:val="22"/>
          <w:szCs w:val="22"/>
        </w:rPr>
        <w:t xml:space="preserve">Abbreviations: DSM: Diagnostic and Statistical Manual of the American Psychiatric Association (Roman numerals pertain to specific editions); EL, Espay-Lang; FMD, Functional Movement Disorder; FW: Fahn-Williams; GL, Gupta-Lang; MMPI, Minnesota Multiphasic Personality Inventory. </w:t>
      </w:r>
    </w:p>
    <w:p w:rsidR="007B744C" w:rsidRPr="007A3B09" w:rsidRDefault="007B744C" w:rsidP="007B744C">
      <w:pPr>
        <w:spacing w:after="160" w:line="259" w:lineRule="auto"/>
        <w:rPr>
          <w:rFonts w:ascii="Calibri" w:eastAsia="Calibri" w:hAnsi="Calibri"/>
          <w:sz w:val="22"/>
          <w:szCs w:val="22"/>
          <w:u w:val="single"/>
        </w:rPr>
      </w:pPr>
      <w:r w:rsidRPr="007A3B09">
        <w:rPr>
          <w:rFonts w:ascii="Calibri" w:eastAsia="Calibri" w:hAnsi="Calibri"/>
          <w:sz w:val="22"/>
          <w:szCs w:val="22"/>
          <w:u w:val="single"/>
        </w:rPr>
        <w:t>Citations from the table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Atmaca, M., Aydin, A., Tezcan, E., Poyraz, A. K., &amp; Kara, B. (2006). Volumetric investigation of brain regions in patients with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Progress in Neuro-Psychopharmacology &amp; Biological Psychiatry, 30</w:t>
      </w:r>
      <w:r w:rsidRPr="007A3B09">
        <w:rPr>
          <w:rFonts w:ascii="Segoe UI" w:eastAsia="Calibri" w:hAnsi="Segoe UI" w:cs="Segoe UI"/>
          <w:sz w:val="22"/>
          <w:szCs w:val="22"/>
        </w:rPr>
        <w:t xml:space="preserve">, 708-713.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Aybek, S., Nicholson, T. R., Draganski, B., Daly, E., Murphy, D. G., David, A. S., &amp; Kanaan, R. A. (2014). Grey matter changes in motor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Journal of Neurology, Neurosurgery and Psychiatry, 85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236-238.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Bègue, I., Blakemore, R., Klug, J., Cojan, Y., Galli, S., Berney, A., . . . Vuilleumier, P. (2018). Metacognition of visuomotor decisions in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Neuropsychologia, 114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251-265.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>Benaderette, S., Zanotti Fregonara, P., Apartis, E., Nguyen, C., Trocello, J. M., Remy, P., . . . Vidailhet, M. (2006). Psychogenic parkinsonism: a combination of clinical, electrophysiological, and [</w:t>
      </w:r>
      <w:r w:rsidRPr="007A3B09">
        <w:rPr>
          <w:rFonts w:ascii="Segoe UI" w:eastAsia="Calibri" w:hAnsi="Segoe UI" w:cs="Segoe UI"/>
          <w:sz w:val="22"/>
          <w:szCs w:val="22"/>
          <w:vertAlign w:val="superscript"/>
        </w:rPr>
        <w:t>123</w:t>
      </w:r>
      <w:r w:rsidRPr="007A3B09">
        <w:rPr>
          <w:rFonts w:ascii="Segoe UI" w:eastAsia="Calibri" w:hAnsi="Segoe UI" w:cs="Segoe UI"/>
          <w:sz w:val="22"/>
          <w:szCs w:val="22"/>
        </w:rPr>
        <w:t xml:space="preserve">I]-FP-CIT SPECT scan explorations improves diagnostic accuracy.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21</w:t>
      </w:r>
      <w:r w:rsidRPr="007A3B09">
        <w:rPr>
          <w:rFonts w:ascii="Segoe UI" w:eastAsia="Calibri" w:hAnsi="Segoe UI" w:cs="Segoe UI"/>
          <w:sz w:val="22"/>
          <w:szCs w:val="22"/>
        </w:rPr>
        <w:t xml:space="preserve">, 310-317.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Benussi, A., Premi, E., Cantoni, V., Compostella, S., Magni, E., Gilberti, N., . . . Magoni, M. (2020). Cortical inhibitory imbalance in functional paralysis.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Frontiers in Human Neuroscience, 14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153.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Beudel, M., Zutt, R., Meppelink, A. M., Little, S., Elting, J. W., Stelten, B. M. L., . . . Tijssen, M. A. J. (2018). Improving neurophysiological biomarkers for functional myoclonic movements.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Parkinsonism and Related Disorders, 51</w:t>
      </w:r>
      <w:r w:rsidRPr="007A3B09">
        <w:rPr>
          <w:rFonts w:ascii="Segoe UI" w:eastAsia="Calibri" w:hAnsi="Segoe UI" w:cs="Segoe UI"/>
          <w:sz w:val="22"/>
          <w:szCs w:val="22"/>
        </w:rPr>
        <w:t xml:space="preserve">, 3-8.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Blakemore, R. L., Hyland, B. I., Hammond-Tooke, G. D., &amp; Anson, J. G. (2013). Distinct modulation of event-related potentials during motor preparation in patients with motor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PLoS One, 8</w:t>
      </w:r>
      <w:r w:rsidRPr="007A3B09">
        <w:rPr>
          <w:rFonts w:ascii="Segoe UI" w:eastAsia="Calibri" w:hAnsi="Segoe UI" w:cs="Segoe UI"/>
          <w:sz w:val="22"/>
          <w:szCs w:val="22"/>
        </w:rPr>
        <w:t xml:space="preserve">, e62539.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Blakemore, R. L., Hyland, B. I., Hammond-Tooke, G. D., &amp; Anson, J. G. (2015). Deficit in late-stage contingent negative variation provides evidence for disrupted movement preparation in patients with conversion paresis.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Biological Psychology, 109</w:t>
      </w:r>
      <w:r w:rsidRPr="007A3B09">
        <w:rPr>
          <w:rFonts w:ascii="Segoe UI" w:eastAsia="Calibri" w:hAnsi="Segoe UI" w:cs="Segoe UI"/>
          <w:sz w:val="22"/>
          <w:szCs w:val="22"/>
        </w:rPr>
        <w:t xml:space="preserve">, 73-85.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Blakemore, R. L., Sinanaj, I., Galli, S., Aybek, S., &amp; Vuilleumier, P. (2016). Aversive stimuli </w:t>
      </w:r>
      <w:r w:rsidRPr="007A3B09">
        <w:rPr>
          <w:rFonts w:ascii="Segoe UI" w:eastAsia="Calibri" w:hAnsi="Segoe UI" w:cs="Segoe UI"/>
          <w:sz w:val="22"/>
          <w:szCs w:val="22"/>
        </w:rPr>
        <w:lastRenderedPageBreak/>
        <w:t xml:space="preserve">exacerbate defensive motor behaviour in motor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Neuropsychologia, 93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229-241.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Brum, M., Cabib, C., &amp; Valls-Solé, J. (2016). Clinical value of the assessment of changes in MEP duration with voluntary contraction.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Frontiers in Neuroscience, 9</w:t>
      </w:r>
      <w:r w:rsidRPr="007A3B09">
        <w:rPr>
          <w:rFonts w:ascii="Segoe UI" w:eastAsia="Calibri" w:hAnsi="Segoe UI" w:cs="Segoe UI"/>
          <w:sz w:val="22"/>
          <w:szCs w:val="22"/>
        </w:rPr>
        <w:t xml:space="preserve">, 505.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Burgmer, M., Konrad, C., Jansen, A., Kugel, H., Sommer, J., Heindel, W., . . . Knecht, S. (2006). Abnormal brain activation during movement observation in patients with conversion paralysis.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Neuroimage, 29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1336-1343.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Canu, E., Agosta, F., Tomic, A., Sarasso, E., Petrovic, I., Piramide, N., . . . Filippi, M. (2020). Breakdown of the affective-cognitive network in functional dystonia.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Human Brain Mapping, 41</w:t>
      </w:r>
      <w:r w:rsidRPr="007A3B09">
        <w:rPr>
          <w:rFonts w:ascii="Segoe UI" w:eastAsia="Calibri" w:hAnsi="Segoe UI" w:cs="Segoe UI"/>
          <w:sz w:val="22"/>
          <w:szCs w:val="22"/>
        </w:rPr>
        <w:t xml:space="preserve">, 3059-3076.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Czarnecki, K., Jones, D. T., Burnett, M., Mullan, B., &amp; Matsumoto, J. Y. (2011). SPECT perfusion patterns distinguish psychogenic from essential tremor.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Parkinsonism and Related Disorders, 17</w:t>
      </w:r>
      <w:r w:rsidRPr="007A3B09">
        <w:rPr>
          <w:rFonts w:ascii="Segoe UI" w:eastAsia="Calibri" w:hAnsi="Segoe UI" w:cs="Segoe UI"/>
          <w:sz w:val="22"/>
          <w:szCs w:val="22"/>
        </w:rPr>
        <w:t xml:space="preserve">, 328-332.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de Lange, F. P., Roelofs, K., &amp; Toni, I. (2007). Increased self-monitoring during imagined movements in conversion paralysis.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Neuropsychologia, 45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2051-2058.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de Lange, F. P., Roelofs, K., &amp; Toni, I. (2008). Motor imagery: a window into the mechanisms and alterations of the motor system.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Cortex, 44</w:t>
      </w:r>
      <w:r w:rsidRPr="007A3B09">
        <w:rPr>
          <w:rFonts w:ascii="Segoe UI" w:eastAsia="Calibri" w:hAnsi="Segoe UI" w:cs="Segoe UI"/>
          <w:sz w:val="22"/>
          <w:szCs w:val="22"/>
        </w:rPr>
        <w:t xml:space="preserve">, 494-506.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de Lange, F. P., Toni, I., &amp; Roelofs, J. J. (2010). Altered connectivity between prefrontal and sensorimotor cortex in conversion paralysis.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Neuropsychologia, 48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1782-1788.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Diez, I., Williams, B., Kubicki, M. R., Makris, N., &amp; Perez, D. L. (2021a). Reduced limbic microstructural integrity in functional neurological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Psychological Medicine, 51</w:t>
      </w:r>
      <w:r w:rsidRPr="007A3B09">
        <w:rPr>
          <w:rFonts w:ascii="Segoe UI" w:eastAsia="Calibri" w:hAnsi="Segoe UI" w:cs="Segoe UI"/>
          <w:sz w:val="22"/>
          <w:szCs w:val="22"/>
        </w:rPr>
        <w:t xml:space="preserve">, 485-493.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Diez, I., Larson, A. G., Nakhate, V., Dunn, E. C., Fricchione, G. L., Nicholson, T. R., . . . Perez, D. L. (2021b). Early-life trauma endophenotypes and brain circuit-gene expression relationships in functional neurological (conversion)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Molecular Psychiatry, 26,</w:t>
      </w:r>
      <w:r w:rsidRPr="007A3B09">
        <w:rPr>
          <w:rFonts w:ascii="Segoe UI" w:eastAsia="Calibri" w:hAnsi="Segoe UI" w:cs="Segoe UI"/>
          <w:sz w:val="22"/>
          <w:szCs w:val="22"/>
        </w:rPr>
        <w:t xml:space="preserve"> 3817-3828.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Diukova, G. M., Ljachovetckaja, N. I., Begljarova, M. A., &amp; Gavrileyko, G. I. (2013). Simple quantitative analysis of Hoover's test in patients with psychogenic and organic limb pareses.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Journal of Psychosomatic Research, 74</w:t>
      </w:r>
      <w:r w:rsidRPr="007A3B09">
        <w:rPr>
          <w:rFonts w:ascii="Segoe UI" w:eastAsia="Calibri" w:hAnsi="Segoe UI" w:cs="Segoe UI"/>
          <w:sz w:val="22"/>
          <w:szCs w:val="22"/>
        </w:rPr>
        <w:t xml:space="preserve">, 361-364.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Dreissen, Y. E. M., Boeree, T., Koelman, J. H. T. M., &amp; Tijssen, M. A. J. (2017). Startle responses in functional jerky movement disorders are increased but have a normal pattern.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Parkinsonism and Related Disorders, 40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27-32.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Edwards, M. J., Moretto, G., Schwingenschuh, P., Katschnig, P., Bhatia, K. P., &amp; Haggard, P. (2011). Abnormal sense of intention preceding voluntary movement in patients with psychogenic tremor.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Neuropsychologia, 49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2791-2793.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Erro, R., Bhatia, K. P., Edwards, M. J., Farmer, S. F., &amp; Cordivari, C. (2013). Clinical diagnosis of propriospinal myoclonus is unreliable: an electrophysiolgic study.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28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1868-1873.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Espay, A. J., Maloney, T., Vannest, J., Norris, M. M., Eliassen, J. C., Neefus, E., . . . Szaflarski, J. P. (2018a). Dysfunction in emotion processing underlies functional (psychogenic) dystonia.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33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136-145.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Espay, A. J., Maloney, T., Vannest, J., Norris, M. M., Eliassen, J. C., Neefus, E., . . . Szaflarski, J. P. (2018b). Impaired emotion processing in functional (psychogenic) tremor: a functional magnetic resonance imaging study.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Neuroimage: Clinical, 17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179-187.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lastRenderedPageBreak/>
        <w:t xml:space="preserve">Espay, A. J., Morgante, F., Purzner, J., Gunraj, C. A., Lang, A. E., &amp; Chen, R. (2006). Cortical and spinal abnormalities in psychogenic dystonia.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Annals of Neurology, 59</w:t>
      </w:r>
      <w:r w:rsidRPr="007A3B09">
        <w:rPr>
          <w:rFonts w:ascii="Segoe UI" w:eastAsia="Calibri" w:hAnsi="Segoe UI" w:cs="Segoe UI"/>
          <w:sz w:val="22"/>
          <w:szCs w:val="22"/>
        </w:rPr>
        <w:t xml:space="preserve">, 825-834.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Espay, A. J., Ries, S., Maloney, T., Vannest, J., Neefus, E., Dwivedi, A. K., . . . Szaflarski, J. P. (2019). Clinical and neural responses to cognitive behavioral therapy for functional tremor.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Neurology, 93</w:t>
      </w:r>
      <w:r w:rsidRPr="007A3B09">
        <w:rPr>
          <w:rFonts w:ascii="Segoe UI" w:eastAsia="Calibri" w:hAnsi="Segoe UI" w:cs="Segoe UI"/>
          <w:sz w:val="22"/>
          <w:szCs w:val="22"/>
        </w:rPr>
        <w:t xml:space="preserve">, e1787-e1798.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Hassa, T., de Jel, E., Tuescher, O., Schmidt, R., &amp; Schoenfeld, M. A. (2016). Functional networks of motor inhibition in conversion disorder patients and feigning subjects.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Neuroimage: Clinical, 11</w:t>
      </w:r>
      <w:r w:rsidRPr="007A3B09">
        <w:rPr>
          <w:rFonts w:ascii="Segoe UI" w:eastAsia="Calibri" w:hAnsi="Segoe UI" w:cs="Segoe UI"/>
          <w:sz w:val="22"/>
          <w:szCs w:val="22"/>
        </w:rPr>
        <w:t xml:space="preserve">, 719-727.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Hassa, T., Sebastian, A., Liepert, J., Weiller, C., Schmidt, R., &amp; Tuscher, O. (2017). Symptom-specific amygdala hyperactivity modulates motor control network in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Neuroimage: Clinical, 15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143-150.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Huys, A. M. L., Bhatia, K. P., Edwards, M. J., &amp; Haggard, P. (2020). The flip side of distractibility—executive dysfunction in functional movement disorders.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Frontiers in Neurology, 11</w:t>
      </w:r>
      <w:r w:rsidRPr="007A3B09">
        <w:rPr>
          <w:rFonts w:ascii="Segoe UI" w:eastAsia="Calibri" w:hAnsi="Segoe UI" w:cs="Segoe UI"/>
          <w:sz w:val="22"/>
          <w:szCs w:val="22"/>
        </w:rPr>
        <w:t xml:space="preserve">, 969.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Kramer, G., Van der Stouwe, A. M. M., Maurits, N. M., Tijssen, M. A. J., &amp; Elting, J. W. (2018). Wavelet coherence analysis: a new approach to distinguish organic and functional tremor types.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Clinical Neurophysiology, 129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13-20.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Kranick, S. M., Moore, J. W., Yusuf, N., Martinez, V. T., LaFaver, K., Edwards, M. J., . . . Voon, V. (2013). Action-effect binding is decreased in motor conversion disorder: implications for sense of agency.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28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1110-1116.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Kumru, H., Begeman, M., Tolosa, E., &amp; Valls-Sole, J. (2007). Dual task interference in psychogenic tremor.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22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2077-2082.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Kumru, H., Valls-Solé, J., Valldeoriola, F., Marti, M. J., Sanegre, M. T., &amp; Tolosa, E. (2004). Transient arrest of psychogenic tremor induced by contralateral ballistic movements.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Neuroscience Letters, 370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135-139.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Liepert, J., Hassa, T., Tüscher, O., &amp; Schmidt, R. (2008). Electrophysiological correlates of motor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23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2171–2176.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Liepert, J., Hassa, T., Tuscher, O., &amp; Schmidt, R. (2009). Abnormal motor excitability in patients with psychogenic paresis. A TMS study.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Journal of Neurology, 256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121-126.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Liepert, J., Hassa, T., Tüscher, O., &amp; Schmidt, R. (2011). Motor excitability during movement imagination and movement observation in psychogenic lower limb paresis.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Journal of Psychosomatic Research, 70</w:t>
      </w:r>
      <w:r w:rsidRPr="007A3B09">
        <w:rPr>
          <w:rFonts w:ascii="Segoe UI" w:eastAsia="Calibri" w:hAnsi="Segoe UI" w:cs="Segoe UI"/>
          <w:sz w:val="22"/>
          <w:szCs w:val="22"/>
        </w:rPr>
        <w:t xml:space="preserve">, 59-65.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Macerollo, A., Batla, A., Kassavetis, P., Parees, I., Bhatia, K. P., &amp; Edwards, M. J. (2015a). Using reaction time and co-contraction to differentiate acquired (secondary) from functional 'fixed' dystonia [letter].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Journal of Neurology, Neurosurgery and Psychiatry, 86</w:t>
      </w:r>
      <w:r w:rsidRPr="007A3B09">
        <w:rPr>
          <w:rFonts w:ascii="Segoe UI" w:eastAsia="Calibri" w:hAnsi="Segoe UI" w:cs="Segoe UI"/>
          <w:sz w:val="22"/>
          <w:szCs w:val="22"/>
        </w:rPr>
        <w:t xml:space="preserve">, 933-934.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Macerollo, A., Chen, J. C., Pareés, I., Kassavetis, P., Kilner, J. M., &amp; Edwards, M. J. (2015b). Sensory attenuation assessed by sensory evoked potentials in functional movement disorders.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PLoS One, 10</w:t>
      </w:r>
      <w:r w:rsidRPr="007A3B09">
        <w:rPr>
          <w:rFonts w:ascii="Segoe UI" w:eastAsia="Calibri" w:hAnsi="Segoe UI" w:cs="Segoe UI"/>
          <w:sz w:val="22"/>
          <w:szCs w:val="22"/>
        </w:rPr>
        <w:t xml:space="preserve">, e0129507.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Maurer, C. W., LaFaver, K., Ameli, R., Epstein, S. A., Hallett, M., &amp; Horovitz, S. G. (2016). Impaired self-agency in functional movement disorders: a resting-state fMRI study.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Neurology, 87</w:t>
      </w:r>
      <w:r w:rsidRPr="007A3B09">
        <w:rPr>
          <w:rFonts w:ascii="Segoe UI" w:eastAsia="Calibri" w:hAnsi="Segoe UI" w:cs="Segoe UI"/>
          <w:sz w:val="22"/>
          <w:szCs w:val="22"/>
        </w:rPr>
        <w:t xml:space="preserve">, 564-570.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Maurer, C. W., LaFaver, K., Limachia, G. S., Capitan, G., Ameli, R., Sinclair, S., . . . Horovitz, S. G. (2018). Gray matter differences in patients with functional movement disorders.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Neurology, 91</w:t>
      </w:r>
      <w:r w:rsidRPr="007A3B09">
        <w:rPr>
          <w:rFonts w:ascii="Segoe UI" w:eastAsia="Calibri" w:hAnsi="Segoe UI" w:cs="Segoe UI"/>
          <w:sz w:val="22"/>
          <w:szCs w:val="22"/>
        </w:rPr>
        <w:t xml:space="preserve">, e1870-e1879.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McAuley, J., &amp; Rothwell, J. (2004). Identification of psychogenic, dystonic, and other organic </w:t>
      </w:r>
      <w:r w:rsidRPr="007A3B09">
        <w:rPr>
          <w:rFonts w:ascii="Segoe UI" w:eastAsia="Calibri" w:hAnsi="Segoe UI" w:cs="Segoe UI"/>
          <w:sz w:val="22"/>
          <w:szCs w:val="22"/>
        </w:rPr>
        <w:lastRenderedPageBreak/>
        <w:t xml:space="preserve">tremors by a coherence entrainment test.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19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253-267.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Meppelink, A. M., Little, S., Oswal, A., Erro, R., Kilner, J., Tijssen, M. A. J., . . . Edwards, M. (2016). Event related desynchronisation predicts functional propriospinal myoclonus.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Parkinsonism and Related Disorders, 31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116-118.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Milanov, I. (2001). Electromyographic differentiation of tremors.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Clinical Neurophysiology, 112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1626-1632.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Milanov, I. (2002). Clinical and electromyographic examinations of patients with psychogenic tremor.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Electromyography and Clinical Neurophysiology, 42</w:t>
      </w:r>
      <w:r w:rsidRPr="007A3B09">
        <w:rPr>
          <w:rFonts w:ascii="Segoe UI" w:eastAsia="Calibri" w:hAnsi="Segoe UI" w:cs="Segoe UI"/>
          <w:sz w:val="22"/>
          <w:szCs w:val="22"/>
        </w:rPr>
        <w:t xml:space="preserve">, 387-392.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Monsa, R., Peer, M., &amp; Arzy, S. (2018). Self-reference, emotion inhibition and somatosensory disturbance: preliminary investigation of network perturbations in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European Journal of Neurology, 25</w:t>
      </w:r>
      <w:r w:rsidRPr="007A3B09">
        <w:rPr>
          <w:rFonts w:ascii="Segoe UI" w:eastAsia="Calibri" w:hAnsi="Segoe UI" w:cs="Segoe UI"/>
          <w:sz w:val="22"/>
          <w:szCs w:val="22"/>
        </w:rPr>
        <w:t xml:space="preserve">, 888-894.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Morgante, F., Tinazzi, M., Squintani, G., Martino, D., Defazio, G., Romito, L., . . . Berardelli, A. (2011). Abnormal tactile temporal discrimination in psychogenic dystonia.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Neurology, 77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1191-1197.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Morita, H., Shimojima, Y., Nishikawa, N., Hagiwara, N., Amano, N., &amp; Ikeda, S. (2008). Size variance of motor evoked potential at initiation of voluntary contraction in palsy of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Psychiatry and Clinical Neurosciences, 62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286-292.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Nahab, F. B., Kundu, P., Maurer, C., Shen, Q., &amp; Hallett, M. (2017). Impaired sense of agency in functional movement disorders: an fMRI study.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PLoS One, 12</w:t>
      </w:r>
      <w:r w:rsidRPr="007A3B09">
        <w:rPr>
          <w:rFonts w:ascii="Segoe UI" w:eastAsia="Calibri" w:hAnsi="Segoe UI" w:cs="Segoe UI"/>
          <w:sz w:val="22"/>
          <w:szCs w:val="22"/>
        </w:rPr>
        <w:t xml:space="preserve">, e0172502.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Nicholson, T. R., Aybeck, S., Kempton, M. J., Daly, E. M., Murphy, D. G., David, A. S., &amp; Kanaan, R. (2014). A structural MRI study of motor conversion disorder: evidence of reduction in thalamic volume.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Journal of Neurology, Neurosurgery and Psychiatry, 85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227-229.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Piboolnurak, P., Rothey, N., Ahmed, A., Ford, B., Yu, Q., Xu, D., &amp; Pullman, S. L. (2005). Psychogenic tremor disorders identified using tree-based statistical algorithms and quantitative tremor analysis.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20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1543-1549.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Premi, E., Benussi, A., Compostella, S., Gilberti, N., Vergani, V., Delrio, I., . . . Borroni, B. (2017). Multimodal brain analysis of functional neurological disorders: a functional stroke mimic case series [letter].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Psychotherapy and Psychosomatics, 86</w:t>
      </w:r>
      <w:r w:rsidRPr="007A3B09">
        <w:rPr>
          <w:rFonts w:ascii="Segoe UI" w:eastAsia="Calibri" w:hAnsi="Segoe UI" w:cs="Segoe UI"/>
          <w:sz w:val="22"/>
          <w:szCs w:val="22"/>
        </w:rPr>
        <w:t xml:space="preserve">, 317-319.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Quartarone, A., Rizzo, V., Terranova, C., Morgante, F., Schneider, S., Ibrahim, N., . . . Rothwell, J. C. (2009). Abnormal sensorimotor plasticity in organic but not in psychogenic dystonia.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Brain, 132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2871-2877.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Raethjen, J., Kopper, R., Govindan, R. B., Volkmann, J., &amp; Deuschl, G. (2004). Two different pathogenetic mechanisms in psychogenic tremor.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Neurology, 63</w:t>
      </w:r>
      <w:r w:rsidRPr="007A3B09">
        <w:rPr>
          <w:rFonts w:ascii="Segoe UI" w:eastAsia="Calibri" w:hAnsi="Segoe UI" w:cs="Segoe UI"/>
          <w:sz w:val="22"/>
          <w:szCs w:val="22"/>
        </w:rPr>
        <w:t xml:space="preserve">, 812-815.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Roelofs, K., de Bruijn, E. R. A., &amp; Van Galen, G. P. (2006). Hyperactive action monitoring during motor-initiation in conversion paralysis: an event-related potential study.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Biological Psychology, 71</w:t>
      </w:r>
      <w:r w:rsidRPr="007A3B09">
        <w:rPr>
          <w:rFonts w:ascii="Segoe UI" w:eastAsia="Calibri" w:hAnsi="Segoe UI" w:cs="Segoe UI"/>
          <w:sz w:val="22"/>
          <w:szCs w:val="22"/>
        </w:rPr>
        <w:t xml:space="preserve">, 316-325.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Roelofs, K., Van Galen, G. P., Keijsers, G. P. J., &amp; Hoogduin, C. A. L. (2002). Motor initiation and execution in patients with conversion paralysis.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Acta Psychologica, 110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21-34.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Schrag, A. E., Mehta, A. R., Bhatia, K. P., Brown, R. J., Frackowiak, R. S. J., Trimble, M. R., . . . Rowe, J. B. (2013). The functional neuroimaging correlates of psychogenic versus organic dystonia.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Brain, 136</w:t>
      </w:r>
      <w:r w:rsidRPr="007A3B09">
        <w:rPr>
          <w:rFonts w:ascii="Segoe UI" w:eastAsia="Calibri" w:hAnsi="Segoe UI" w:cs="Segoe UI"/>
          <w:sz w:val="22"/>
          <w:szCs w:val="22"/>
        </w:rPr>
        <w:t xml:space="preserve">, 770-781.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Schwingenschuh, P., Katschnig, P., Seiler, S., Saifee, T. A., Aguirregomozcorta, M., Cordivari, C., . . . Edwards, M. J. (2011). Moving toward "laboratory-supported" criteria for psychogenic tremor.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26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2509-2515.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lastRenderedPageBreak/>
        <w:t xml:space="preserve">Schwingenschuh, P., Saifee, T. A., Katschnig-Winter, P., Macerollo, A., Koegl-Wallner, M., Culea, V., . . . Edwards, M. J. (2016). Validation of "laboratory-supported" criteria for functional (psychogenic) tremor.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31</w:t>
      </w:r>
      <w:r w:rsidRPr="007A3B09">
        <w:rPr>
          <w:rFonts w:ascii="Segoe UI" w:eastAsia="Calibri" w:hAnsi="Segoe UI" w:cs="Segoe UI"/>
          <w:sz w:val="22"/>
          <w:szCs w:val="22"/>
        </w:rPr>
        <w:t xml:space="preserve">, 555-562.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Seignourel, P. J., Miller, K., Kellison, I., Rodriguez, R., Fernandez, H. H., Bauer, R. M., . . . Okun, M. S. (2007). Abnormal affective startle modulation in individuals with psychogenic movement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22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1265-1271.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Sojka, P., Lošák, J., Lamoš, M., Bareš, M., Kašpárek, T., Brázdil, M., . . . Fialová, J. (2019). Processing of emotions in functional movement disorder: an exploratory fMRI study.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Frontiers in Neurology, 10</w:t>
      </w:r>
      <w:r w:rsidRPr="007A3B09">
        <w:rPr>
          <w:rFonts w:ascii="Segoe UI" w:eastAsia="Calibri" w:hAnsi="Segoe UI" w:cs="Segoe UI"/>
          <w:sz w:val="22"/>
          <w:szCs w:val="22"/>
        </w:rPr>
        <w:t xml:space="preserve">, 861.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Stins, J. F., Kempe, C. L., Hagenaars, M. A., Beek, P. J., &amp; Roelofs, K. (2015). Attention and postural control in patients with conversion paresis.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Journal of Psychosomatic Research, 78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249-254.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Stone, J., Zeman, A., Simonotto, E., Meyer, M., Azuma, R., Flett, S., &amp; Sharpe, M. (2007). FMRI in patients with motor conversion symptoms and controls with simulated weakness.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Psychosomatic Medicine, 69</w:t>
      </w:r>
      <w:r w:rsidRPr="007A3B09">
        <w:rPr>
          <w:rFonts w:ascii="Segoe UI" w:eastAsia="Calibri" w:hAnsi="Segoe UI" w:cs="Segoe UI"/>
          <w:sz w:val="22"/>
          <w:szCs w:val="22"/>
        </w:rPr>
        <w:t xml:space="preserve">, 961-969.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Teodoro, T., Koreki, A., Meppelink, A. M., Little, S., Nielsen, G., Macerollo, A., . . . Edwards, M. J. (2020). Contingent negative variation: a biomarker of abnormal attention in functional movement disorders.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European Journal of Neurology, 27</w:t>
      </w:r>
      <w:r w:rsidRPr="007A3B09">
        <w:rPr>
          <w:rFonts w:ascii="Segoe UI" w:eastAsia="Calibri" w:hAnsi="Segoe UI" w:cs="Segoe UI"/>
          <w:sz w:val="22"/>
          <w:szCs w:val="22"/>
        </w:rPr>
        <w:t xml:space="preserve">, 985-994.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Teodoro, T., Meppelink, A. M., Little, S., Grant, R., Nielsen, G., Macerollo, A., . . . Edwards, M. J. (2018). Abnormal beta power is a hallmark of explicit movement control in functional movement disorders.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Neurology, 90</w:t>
      </w:r>
      <w:r w:rsidRPr="007A3B09">
        <w:rPr>
          <w:rFonts w:ascii="Segoe UI" w:eastAsia="Calibri" w:hAnsi="Segoe UI" w:cs="Segoe UI"/>
          <w:sz w:val="22"/>
          <w:szCs w:val="22"/>
        </w:rPr>
        <w:t xml:space="preserve">, e247-e253.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Tinazzi, M., Simonetto, S., Franco, L., Bhatia, K. P., Moretto, G., Fiaschi, A., &amp; Deluca, C. (2008). Abduction finger sign: a new sign to detect unilateral functional paralysis of the upper limb.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23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2415-2419.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Tomic, A., Agosta, F., Sarasso, E., Petrovic, I., Basaia, S., Pesic, D., . . . Filippi, M. (2020). Are there two different forms of functional dystonia? A multimodal brain structural MRI study.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Moleular Psychiatry, 25</w:t>
      </w:r>
      <w:r w:rsidRPr="007A3B09">
        <w:rPr>
          <w:rFonts w:ascii="Segoe UI" w:eastAsia="Calibri" w:hAnsi="Segoe UI" w:cs="Segoe UI"/>
          <w:sz w:val="22"/>
          <w:szCs w:val="22"/>
        </w:rPr>
        <w:t xml:space="preserve">, 3350-3359.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van Beilen, M., de Jong, B. M., Gieteling, E. W., Renken, R., &amp; Leenders, K. L. (2011). Abnormal parietal function in conversion paresis.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PLoS One, 6</w:t>
      </w:r>
      <w:r w:rsidRPr="007A3B09">
        <w:rPr>
          <w:rFonts w:ascii="Segoe UI" w:eastAsia="Calibri" w:hAnsi="Segoe UI" w:cs="Segoe UI"/>
          <w:sz w:val="22"/>
          <w:szCs w:val="22"/>
        </w:rPr>
        <w:t xml:space="preserve">, e25918.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van der Salm, S. M. A., Koelman, J. H. T. M., Henneke, S., van Rootselaar, A. F., &amp; Tijssen, M. A. J. (2010). Axial jerks: a clinical spectrum ranging from propriospinal to psychogenic myoclonus.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Journal of Neurology, 257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1349-1355.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van der Salm, S. M. A., Tijssen, M. A., Koelman, J. H., &amp; van Rootselaar, A. F. (2012). The bereitschaftspotential in jerky movement disorders.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Journal of Neurology, Neurosurgery and Psychiatry, 83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1162-1167.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van der Stouwe, A. M. M., Conway, B. A., Elting, J. W., Tijssen, M. A. J., &amp; Maurits, N. M. (2015). Usefulness of intermuscular coherence and cumulant analysis in the diagnosis of postural tremor.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Clinical Neurophysiology, 126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1564-1569.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van der Stouwe, A. M. M., Elting, J. W., van der Hoeven, J. H., van Laar, T., Leenders, K. L., Maurits, N. M., &amp; Tijssen, M. A. J. (2016). How typical are 'typical' tremor characteristics? Sensitivity and specificity of five tremor phenomena.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Parkinsonism and Related Disorders, 30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23-28.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Voon, V., Brezing, C., Gallea, C., &amp; Hallett, M. (2011). Aberrant supplementary motor complex and limbic activity during motor preparation in motor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 xml:space="preserve">Movement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lastRenderedPageBreak/>
        <w:t>Disorders, 26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2396-2403.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Voon, V., Ekanayake, V., Wiggs, E., Kranick, S., Ameli, R., Harrison, N. A., &amp; Hallett, M. (2013). Response inhibition in motor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Movement Disorders, 28</w:t>
      </w:r>
      <w:r w:rsidRPr="007A3B09">
        <w:rPr>
          <w:rFonts w:ascii="Segoe UI" w:eastAsia="Calibri" w:hAnsi="Segoe UI" w:cs="Segoe UI"/>
          <w:sz w:val="22"/>
          <w:szCs w:val="22"/>
        </w:rPr>
        <w:t xml:space="preserve">, 612-618.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Voon, V., Gallea, C., Hattori, N., Bruno, M., Ekanayake, V., &amp; Hallett, M. (2010). The involuntary nature of conversion disorder.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Neurology, 74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223-228.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Vuilleumier, P., Chicherio, C., Assal, F., Schwartz, S., Slosman, D., &amp; Landis, T. (2001). Functional neuroanatomical correlates of hysterical sensorimotor loss.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Brain, 124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1077-1090.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Wegrzyk, J., Kebets, V., Richiardi, J., Galli, S., de Ville, D. V., &amp; Aybek, S. (2018). Identifying motor functional neurological disorder using resting-state functional connectivity.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Neuroimage: Clinical, 17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163-168.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Wolfsegger, T., Pischinger, B., &amp; Topakian, R. (2013). Objectification of psychogenic postural instability by trunk sway analysis.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Journal of the Neurological Sciences, 344</w:t>
      </w:r>
      <w:r w:rsidRPr="007A3B09">
        <w:rPr>
          <w:rFonts w:ascii="Segoe UI" w:eastAsia="Calibri" w:hAnsi="Segoe UI" w:cs="Segoe UI"/>
          <w:sz w:val="22"/>
          <w:szCs w:val="22"/>
        </w:rPr>
        <w:t xml:space="preserve">, 14-17. </w:t>
      </w:r>
    </w:p>
    <w:p w:rsidR="007B744C" w:rsidRPr="007B744C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  <w:lang w:val="nl-NL"/>
        </w:rPr>
      </w:pPr>
      <w:r w:rsidRPr="007A3B09">
        <w:rPr>
          <w:rFonts w:ascii="Segoe UI" w:eastAsia="Calibri" w:hAnsi="Segoe UI" w:cs="Segoe UI"/>
          <w:sz w:val="22"/>
          <w:szCs w:val="22"/>
        </w:rPr>
        <w:t xml:space="preserve">Zito, G. A., Apazoglou, K., Paraschiv-Ionescu, A., Aminian, K., &amp; Aybek, S. (2019). Abnormal postural behavior in patients with functional movement disorders during exposure to stress. </w:t>
      </w:r>
      <w:r w:rsidRPr="007B744C">
        <w:rPr>
          <w:rFonts w:ascii="Segoe UI" w:eastAsia="Calibri" w:hAnsi="Segoe UI" w:cs="Segoe UI"/>
          <w:i/>
          <w:iCs/>
          <w:sz w:val="22"/>
          <w:szCs w:val="22"/>
          <w:lang w:val="nl-NL"/>
        </w:rPr>
        <w:t>Psychoneuroendocrinology, 101</w:t>
      </w:r>
      <w:r w:rsidRPr="007B744C">
        <w:rPr>
          <w:rFonts w:ascii="Segoe UI" w:eastAsia="Calibri" w:hAnsi="Segoe UI" w:cs="Segoe UI"/>
          <w:sz w:val="22"/>
          <w:szCs w:val="22"/>
          <w:lang w:val="nl-NL"/>
        </w:rPr>
        <w:t xml:space="preserve">, 232-239. </w:t>
      </w:r>
    </w:p>
    <w:p w:rsidR="007B744C" w:rsidRPr="007A3B09" w:rsidRDefault="007B744C" w:rsidP="007B744C">
      <w:pPr>
        <w:widowControl w:val="0"/>
        <w:autoSpaceDE w:val="0"/>
        <w:autoSpaceDN w:val="0"/>
        <w:adjustRightInd w:val="0"/>
        <w:ind w:left="720" w:hanging="720"/>
        <w:rPr>
          <w:rFonts w:ascii="Segoe UI" w:eastAsia="Calibri" w:hAnsi="Segoe UI" w:cs="Segoe UI"/>
          <w:sz w:val="22"/>
          <w:szCs w:val="22"/>
        </w:rPr>
      </w:pPr>
      <w:r w:rsidRPr="007B744C">
        <w:rPr>
          <w:rFonts w:ascii="Segoe UI" w:eastAsia="Calibri" w:hAnsi="Segoe UI" w:cs="Segoe UI"/>
          <w:sz w:val="22"/>
          <w:szCs w:val="22"/>
          <w:lang w:val="nl-NL"/>
        </w:rPr>
        <w:t xml:space="preserve">Zutt, R., Elting, J. W., van der Hoeven, J. H., Lange, F., &amp; Tijssen, M. A. J. (2017). </w:t>
      </w:r>
      <w:r w:rsidRPr="007A3B09">
        <w:rPr>
          <w:rFonts w:ascii="Segoe UI" w:eastAsia="Calibri" w:hAnsi="Segoe UI" w:cs="Segoe UI"/>
          <w:sz w:val="22"/>
          <w:szCs w:val="22"/>
        </w:rPr>
        <w:t xml:space="preserve">Myoclonus subtypes in tertiary referral center.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Cortical myoclonus and functional jerks are common</w:t>
      </w:r>
      <w:r w:rsidRPr="007A3B09">
        <w:rPr>
          <w:rFonts w:ascii="Segoe UI" w:eastAsia="Calibri" w:hAnsi="Segoe UI" w:cs="Segoe UI"/>
          <w:sz w:val="22"/>
          <w:szCs w:val="22"/>
        </w:rPr>
        <w:t xml:space="preserve">. </w:t>
      </w:r>
      <w:r w:rsidRPr="007A3B09">
        <w:rPr>
          <w:rFonts w:ascii="Segoe UI" w:eastAsia="Calibri" w:hAnsi="Segoe UI" w:cs="Segoe UI"/>
          <w:i/>
          <w:iCs/>
          <w:sz w:val="22"/>
          <w:szCs w:val="22"/>
        </w:rPr>
        <w:t>Clinical Neurophysiology, 128</w:t>
      </w:r>
      <w:r w:rsidRPr="007A3B09">
        <w:rPr>
          <w:rFonts w:ascii="Segoe UI" w:eastAsia="Calibri" w:hAnsi="Segoe UI" w:cs="Segoe UI"/>
          <w:sz w:val="22"/>
          <w:szCs w:val="22"/>
        </w:rPr>
        <w:t xml:space="preserve">, 253-259. </w:t>
      </w:r>
    </w:p>
    <w:p w:rsidR="007B744C" w:rsidRPr="007A3B09" w:rsidRDefault="007B744C" w:rsidP="007B744C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7B744C" w:rsidRDefault="007B744C" w:rsidP="007B744C">
      <w:pPr>
        <w:rPr>
          <w:rFonts w:ascii="Arial" w:hAnsi="Arial" w:cs="Arial"/>
        </w:rPr>
      </w:pPr>
    </w:p>
    <w:p w:rsidR="00F559B7" w:rsidRDefault="00F559B7">
      <w:bookmarkStart w:id="0" w:name="_GoBack"/>
      <w:bookmarkEnd w:id="0"/>
    </w:p>
    <w:sectPr w:rsidR="00F559B7" w:rsidSect="000B0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4C"/>
    <w:rsid w:val="007B744C"/>
    <w:rsid w:val="00F5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71B94-01A1-4C11-A125-8FF0410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B744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B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3321</Words>
  <Characters>18271</Characters>
  <Application>Microsoft Office Word</Application>
  <DocSecurity>0</DocSecurity>
  <Lines>152</Lines>
  <Paragraphs>43</Paragraphs>
  <ScaleCrop>false</ScaleCrop>
  <Company>Monique Mulder</Company>
  <LinksUpToDate>false</LinksUpToDate>
  <CharactersWithSpaces>21549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Axana Scherbeijn</dc:creator>
  <cp:keywords/>
  <dc:description/>
  <cp:lastModifiedBy>Axana Scherbeijn</cp:lastModifiedBy>
  <cp:revision>1</cp:revision>
  <dcterms:created xsi:type="dcterms:W3CDTF">2022-02-04T07:23:00Z</dcterms:created>
  <dcterms:modified xsi:type="dcterms:W3CDTF">2022-02-04T07:24:00Z</dcterms:modified>
</cp:coreProperties>
</file>