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007"/>
        <w:gridCol w:w="2140"/>
        <w:gridCol w:w="2680"/>
        <w:gridCol w:w="7606"/>
      </w:tblGrid>
      <w:tr w:rsidR="007F61E2" w:rsidRPr="007F61E2" w:rsidTr="007F61E2">
        <w:trPr>
          <w:trHeight w:val="310"/>
        </w:trPr>
        <w:tc>
          <w:tcPr>
            <w:tcW w:w="14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7F61E2" w:rsidRPr="007F61E2" w:rsidRDefault="007F61E2" w:rsidP="007F6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61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Technology-</w:t>
            </w:r>
            <w:proofErr w:type="spellStart"/>
            <w:r w:rsidRPr="007F61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assisted</w:t>
            </w:r>
            <w:proofErr w:type="spellEnd"/>
            <w:r w:rsidRPr="007F61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61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rehabilitative</w:t>
            </w:r>
            <w:proofErr w:type="spellEnd"/>
            <w:r w:rsidRPr="007F61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61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studies</w:t>
            </w:r>
            <w:proofErr w:type="spellEnd"/>
          </w:p>
        </w:tc>
      </w:tr>
      <w:tr w:rsidR="007C4023" w:rsidRPr="007F61E2" w:rsidTr="007F61E2">
        <w:trPr>
          <w:trHeight w:val="5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Device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type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Study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MAIN GOAL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CLINICAL SCALE ASSESSMENT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INSTRUMENTAL ASSESSMENT</w:t>
            </w:r>
          </w:p>
        </w:tc>
      </w:tr>
      <w:tr w:rsidR="007C4023" w:rsidRPr="007F61E2" w:rsidTr="007F61E2">
        <w:trPr>
          <w:trHeight w:val="465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TBD and OGD:                      Hip-knee guidance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Chisholm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AE.,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131413"/>
                <w:sz w:val="20"/>
                <w:szCs w:val="20"/>
                <w:lang w:val="en-US" w:eastAsia="it-IT"/>
              </w:rPr>
              <w:t>To determine how postural control muscles of the trunk are challenged during different methods of robotic-assisted gait performance, and </w:t>
            </w:r>
            <w:r w:rsidRPr="007F61E2">
              <w:rPr>
                <w:rFonts w:ascii="Times New Roman" w:eastAsia="Times New Roman" w:hAnsi="Times New Roman" w:cs="Times New Roman"/>
                <w:bCs/>
                <w:color w:val="131413"/>
                <w:sz w:val="20"/>
                <w:szCs w:val="20"/>
                <w:lang w:val="en-US" w:eastAsia="it-IT"/>
              </w:rPr>
              <w:t>evaluate changes in seated balance control after gait training with robotics.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Pre vs post 1st period of training 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(Ekso for pt. 1-3, Lokomat for pt. 2): T-shirt ↓;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mFRT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↑;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br/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br/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Pre vs post 2nd period of training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 (Lokomat for pt. 1-3, Ekso for pt. 2): T-shirt test ↑ (pt. 1-3), T-shirt Test ↓ (pt. 2),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mFRT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↓ (pt. 1-3)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mFRT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↑ (pt. 2);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br/>
              <w:t> 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br/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Pre vs post 3rd period of training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 (Ekso pt. 1-3, Lokomat pt. 2): T-shirt Test ↓ (pt. 1-3), T-shirt Test ↑ (pt. 2),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mFRT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↑ (pt. 1-3),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mFRT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↓ (pt. 2)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23" w:rsidRPr="007F61E2" w:rsidRDefault="007C4023" w:rsidP="007F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EO condition: 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br/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pre vs post 1st period of training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Ekso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for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1-3,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Lokomat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for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2): COP: RMS distance ↓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1-3), RMS distance =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2), RVEL ↓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1-3), RVEL =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2), AREA-CE ↓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1-3), AREA-CE =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2)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br/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 xml:space="preserve">pre vs post 2nd period of training 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(Lokomat for pt. 1-3, Ekso for pt. 2): COP: RMS distance ↑ (pt. 1-3), RMS distance ↓ (pt. 2), AREA-CE ↑ (pt. 1-3), AREA-CE ↓ (pt. 2), RVEL ↓ (pt. 1), RVEL ↑ (pt. 3), RVEL = (pt. 2)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br/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pre vs post 3rd period of training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(Ekso pt. 1-3, Lokomat pt. 2): COP:RMS distance ↓ (pt. 1-3), RMS distance ↑ (pt. 2), AREA-CE ↓ (pt. 1-3), AREA-CE ↑ (pt. 2), RVEL ↓ (pt. 1), RVEL ↑ (pt. 3), RVEL= (pt. 2)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br/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br/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 xml:space="preserve">EC condition: </w:t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br/>
              <w:t>pre vs post 1st period of training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Ekso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for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1-3,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Lokomat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for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2): COP: RMS distance ↓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1-3), RMS distance =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2), RVEL ↓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1-3), RVEL ↑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2), AREA-CE ↓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1-3), AREA-CE =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2)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br/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pre vs post 2nd period of training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Lokomat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for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1-3,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Ekso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for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2): COP: RMS distance ↑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1-3), RMS distance ↓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2), RVEL ↓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1), RVEL ↑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3), RVEL ↓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2), AREA-CE ↑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1), AREA-CE=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3), AREA-CE ↓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2)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br/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pre vs post 3rd period of training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Ekso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1-3,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Lokomat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2): COP: RMS distance ↓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1), RMS distance =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3), RMS distance ↑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2), RVEL ↓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1), RVEL ↓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3), RVEL ↑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2), AREA-CE ↓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1), AREA-CE =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3), AREA-CE ↑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2) 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br/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br/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 xml:space="preserve">pre vs post 1st period of training 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Ekso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for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1-3,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Lokomat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for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2): COP: LOS total distance ↑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1-3), LOS total distance =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2)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br/>
              <w:t>pre vs post 2nd period of training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Lokomat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for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1-3,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Ekso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for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2): COP: LOS total distance ↓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1-3), LOS total distance ↑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2)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br/>
              <w:t>pre vs post 3rd period of training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Ekso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1-3,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Lokomat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2): COP: LOS total distance ↑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pz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1-3), LOS total distance ↓</w:t>
            </w:r>
          </w:p>
        </w:tc>
      </w:tr>
      <w:tr w:rsidR="007C4023" w:rsidRPr="007F61E2" w:rsidTr="007F61E2">
        <w:trPr>
          <w:trHeight w:val="6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TBD: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  <w:t xml:space="preserve">No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guidance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Covarrubias-Escudero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F., 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it-IT"/>
              </w:rPr>
              <w:t>To examine the effects of a six-week TMBWS program on COM control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and gait independence.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 </w:t>
            </w:r>
            <w:r w:rsidR="007F61E2" w:rsidRPr="007F61E2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val="en-US" w:eastAsia="it-IT"/>
              </w:rPr>
              <w:t>NA 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23" w:rsidRPr="007F61E2" w:rsidRDefault="007C4023" w:rsidP="007F61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Healthy vs SCI before training:</w:t>
            </w:r>
            <w:r w:rsidRPr="007F61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it-IT"/>
              </w:rPr>
              <w:t xml:space="preserve"> COP </w:t>
            </w: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RMS***↑ SCI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, COP NJ↑ SCI</w:t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br/>
              <w:t>Healthy vs SCI post training:</w:t>
            </w: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 COP RMS***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↑ </w:t>
            </w: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SCI, COP NJ***↑ SCI</w:t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br/>
            </w:r>
            <w:proofErr w:type="spellStart"/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SCI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 xml:space="preserve"> pre vs post training: COP 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RMS↑ (ASIA C, D), </w:t>
            </w: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COP NJ*↓ (ASIA C),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NJ ↓ (ASIA D)</w:t>
            </w:r>
          </w:p>
        </w:tc>
      </w:tr>
      <w:tr w:rsidR="007C4023" w:rsidRPr="007F61E2" w:rsidTr="007F61E2">
        <w:trPr>
          <w:trHeight w:val="80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TBD: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Pelvis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guidance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Wu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MM., 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it-IT"/>
              </w:rPr>
              <w:t>To address if practice with TMBWSD may increase COM control performance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 </w:t>
            </w:r>
            <w:r w:rsidR="007F61E2" w:rsidRPr="007F61E2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val="en-US" w:eastAsia="it-IT"/>
              </w:rPr>
              <w:t>NA 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23" w:rsidRPr="007F61E2" w:rsidRDefault="007C4023" w:rsidP="007F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SCI group comparison null 1 vs transition 1: </w:t>
            </w: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COM Speed Variability*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↑</w:t>
            </w: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, COM Lateral Excursion*↑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br/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 xml:space="preserve">Healthy group comparison null 1 vs transition 3: 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COM Speed Variability=, </w:t>
            </w: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COM Lateral Excursion*↑</w:t>
            </w:r>
          </w:p>
        </w:tc>
      </w:tr>
      <w:tr w:rsidR="007C4023" w:rsidRPr="007F61E2" w:rsidTr="007F61E2">
        <w:trPr>
          <w:trHeight w:val="197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TBD: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  <w:t>Hip-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knee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guidance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Piira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A., 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To investigate whether a less personnel-demanding robot-assisted training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programme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would have similar treatment effects as the manually assisted approach in treatment effects as the manually assisted approach in comparison with control groups receiving usual care.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pre vs post training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: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br/>
            </w:r>
            <w:proofErr w:type="spellStart"/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Lokomat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: </w:t>
            </w: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BBS* ↑, 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mFRT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* ↑ 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br/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UC: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 </w:t>
            </w: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BBS* ↑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, 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mFRT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↑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23" w:rsidRPr="007F61E2" w:rsidRDefault="007F61E2" w:rsidP="007F61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it-IT"/>
              </w:rPr>
              <w:t>NA</w:t>
            </w:r>
            <w:r w:rsidR="007C4023" w:rsidRPr="007F61E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7C4023" w:rsidRPr="007F61E2" w:rsidTr="007F61E2">
        <w:trPr>
          <w:trHeight w:val="10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TBD: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  <w:t>Hip-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knee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guidance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Labruyère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R., 2014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To describe the rehabilitation outcome of a patient treated with TMBWS training.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pre vs post training: </w:t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br/>
              <w:t>Lokomat: 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BBS ↑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br/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ST: </w:t>
            </w: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BBS* ↑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br/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 xml:space="preserve">post training vs FU: 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BBS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nc</w:t>
            </w:r>
            <w:proofErr w:type="spellEnd"/>
          </w:p>
        </w:tc>
        <w:tc>
          <w:tcPr>
            <w:tcW w:w="7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23" w:rsidRPr="007F61E2" w:rsidRDefault="007C4023" w:rsidP="007F61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pre vs post training and post training vs FU:</w:t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br/>
              <w:t xml:space="preserve">Lokomat: 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COP mediolateral amplitude ↑</w:t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  </w:t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br/>
              <w:t>ST: 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COP mediolateral amplitude </w:t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↑</w:t>
            </w:r>
          </w:p>
        </w:tc>
      </w:tr>
      <w:tr w:rsidR="007C4023" w:rsidRPr="007F61E2" w:rsidTr="007F61E2">
        <w:trPr>
          <w:trHeight w:val="14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TBD: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  <w:t>Hip-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knee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guidance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Martinez SA., 2019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To compare the effects of MME versus TM for increasing of volitional lower extremity motor scores and corticospinal neurotransmission.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pre vs post training: </w:t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br/>
              <w:t>Lokomat: 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BBS ↑</w:t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br/>
              <w:t>MME: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 BBS </w:t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↑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23" w:rsidRPr="007F61E2" w:rsidRDefault="007C4023" w:rsidP="007F61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Lokomat vs MME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: COP maximal excursion ↑ (for Lokomat)</w:t>
            </w:r>
          </w:p>
        </w:tc>
      </w:tr>
      <w:tr w:rsidR="007F61E2" w:rsidRPr="007F61E2" w:rsidTr="007F61E2">
        <w:trPr>
          <w:trHeight w:val="12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E2" w:rsidRPr="007F61E2" w:rsidRDefault="007F61E2" w:rsidP="007F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TBD: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  <w:t>Hip-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knee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guidance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E2" w:rsidRPr="007F61E2" w:rsidRDefault="007F61E2" w:rsidP="007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Okawara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H., 2020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E2" w:rsidRPr="007F61E2" w:rsidRDefault="007F61E2" w:rsidP="007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To quantify the effect of BWSTT with Voluntary Driven Exoskeleton according to the severity of SCI, evaluated using baseline walking ability.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1E2" w:rsidRPr="007F61E2" w:rsidRDefault="007F61E2" w:rsidP="007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pre vs post training: </w:t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br/>
              <w:t>low walking ability group: </w:t>
            </w: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TUG* ↓, BBS* ↑ </w:t>
            </w: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br/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high walking ability group: </w:t>
            </w: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TUG* ↓, BBS* ↑)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61E2" w:rsidRPr="007F61E2" w:rsidRDefault="007F61E2" w:rsidP="007F6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1E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it-IT"/>
              </w:rPr>
              <w:t>NA </w:t>
            </w:r>
          </w:p>
        </w:tc>
      </w:tr>
      <w:tr w:rsidR="007F61E2" w:rsidRPr="007F61E2" w:rsidTr="007F61E2">
        <w:trPr>
          <w:trHeight w:val="14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E2" w:rsidRPr="007F61E2" w:rsidRDefault="007F61E2" w:rsidP="007F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TBD: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  <w:t>Hip-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knee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guidance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E2" w:rsidRPr="007F61E2" w:rsidRDefault="007F61E2" w:rsidP="007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Hornby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TG., 2005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E2" w:rsidRPr="007F61E2" w:rsidRDefault="007F61E2" w:rsidP="007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To describe the use of a TMBWSD in the clinical setting in an attempt to augment voluntary recovery of motor function and ambulation.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1E2" w:rsidRPr="007F61E2" w:rsidRDefault="007F61E2" w:rsidP="007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pre vs post training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: 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br/>
              <w:t>TUG (pt. 1 and 3 not able), TUG ↓ (pt. 2), FRT sitting=, FRT standing ↑ (pt. 1 and 2), FRT standing ↓ (pt. 3)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61E2" w:rsidRPr="007F61E2" w:rsidRDefault="007F61E2" w:rsidP="007F6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1E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it-IT"/>
              </w:rPr>
              <w:t>NA </w:t>
            </w:r>
          </w:p>
        </w:tc>
      </w:tr>
      <w:tr w:rsidR="007F61E2" w:rsidRPr="007F61E2" w:rsidTr="007F61E2">
        <w:trPr>
          <w:trHeight w:val="1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E2" w:rsidRPr="007F61E2" w:rsidRDefault="007F61E2" w:rsidP="007F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TBD: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  <w:t>Hip-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knee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guidance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E2" w:rsidRPr="007F61E2" w:rsidRDefault="007F61E2" w:rsidP="007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Moreh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E., 2009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E2" w:rsidRPr="007F61E2" w:rsidRDefault="007F61E2" w:rsidP="007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To compare gait-related outcomes of lower extremity ST and task-specific locomotor training.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1E2" w:rsidRPr="007F61E2" w:rsidRDefault="007F61E2" w:rsidP="007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pre vs post training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: BBS </w:t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↑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61E2" w:rsidRPr="007F61E2" w:rsidRDefault="007F61E2" w:rsidP="007F6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1E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it-IT"/>
              </w:rPr>
              <w:t>NA </w:t>
            </w:r>
          </w:p>
        </w:tc>
      </w:tr>
      <w:tr w:rsidR="007F61E2" w:rsidRPr="007F61E2" w:rsidTr="007F61E2">
        <w:trPr>
          <w:trHeight w:val="11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E2" w:rsidRPr="007F61E2" w:rsidRDefault="007F61E2" w:rsidP="007F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TBD: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  <w:t xml:space="preserve">Lower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leg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guidance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E2" w:rsidRPr="007F61E2" w:rsidRDefault="007F61E2" w:rsidP="007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Wu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M., 2012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E2" w:rsidRPr="007F61E2" w:rsidRDefault="007F61E2" w:rsidP="007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To test whether robotic resistance training could improve locomotor function.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1E2" w:rsidRPr="007F61E2" w:rsidRDefault="007F61E2" w:rsidP="007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pre vs post training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: </w:t>
            </w: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br/>
              <w:t>BBS* ↑, ABC* ↑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61E2" w:rsidRPr="007F61E2" w:rsidRDefault="007F61E2" w:rsidP="007F6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1E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it-IT"/>
              </w:rPr>
              <w:t>NA </w:t>
            </w:r>
          </w:p>
        </w:tc>
      </w:tr>
      <w:tr w:rsidR="007C4023" w:rsidRPr="007F61E2" w:rsidTr="007F61E2">
        <w:trPr>
          <w:trHeight w:val="17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OGD: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  <w:t>Hip-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knee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guidance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Khan AS., 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To determine the training dosage required for walking proficiency, the sensory and motor changes in the nervous system with training, and the functionality of the device in a home-like environment.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 </w:t>
            </w:r>
            <w:r w:rsidR="007F61E2" w:rsidRPr="007F61E2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val="en-US" w:eastAsia="it-IT"/>
              </w:rPr>
              <w:t>NA 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23" w:rsidRPr="007F61E2" w:rsidRDefault="007C4023" w:rsidP="007F61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pre vs post training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: </w:t>
            </w: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COP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 </w:t>
            </w: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LOS* ↑, COP sway speed* ↓, </w:t>
            </w: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br/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post training vs FU:</w:t>
            </w: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COP LOS ↓, COP sway speed ↓ </w:t>
            </w:r>
          </w:p>
        </w:tc>
      </w:tr>
      <w:tr w:rsidR="007F61E2" w:rsidRPr="007F61E2" w:rsidTr="007F61E2">
        <w:trPr>
          <w:trHeight w:val="10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E2" w:rsidRPr="007F61E2" w:rsidRDefault="007F61E2" w:rsidP="007F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OGD: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  <w:t>Hip-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knee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guidance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E2" w:rsidRPr="007F61E2" w:rsidRDefault="007F61E2" w:rsidP="007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Bach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Baunsgaard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C., 2018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E2" w:rsidRPr="007F61E2" w:rsidRDefault="007F61E2" w:rsidP="007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To assess safety, feasibility, training characteristics and changes in gait function using OGD.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1E2" w:rsidRPr="007F61E2" w:rsidRDefault="007F61E2" w:rsidP="007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Pre vs Post training and Pre vs FU: </w:t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br/>
            </w:r>
            <w:r w:rsidRPr="007F61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TUG **↓, BBS** ↑</w:t>
            </w:r>
          </w:p>
        </w:tc>
        <w:tc>
          <w:tcPr>
            <w:tcW w:w="7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61E2" w:rsidRPr="007F61E2" w:rsidRDefault="007F61E2" w:rsidP="007F6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1E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it-IT"/>
              </w:rPr>
              <w:t>NA </w:t>
            </w:r>
          </w:p>
        </w:tc>
      </w:tr>
      <w:tr w:rsidR="007F61E2" w:rsidRPr="007F61E2" w:rsidTr="007F61E2">
        <w:trPr>
          <w:trHeight w:val="13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E2" w:rsidRPr="007F61E2" w:rsidRDefault="007F61E2" w:rsidP="007F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OGD: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Knee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guidance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E2" w:rsidRPr="007F61E2" w:rsidRDefault="007F61E2" w:rsidP="007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Bishop L., 2012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E2" w:rsidRPr="007F61E2" w:rsidRDefault="007F61E2" w:rsidP="007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To document the use and practicality of gait training for an individual with asymmetric lower limb motor deficits using a novel OGD.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1E2" w:rsidRPr="007F61E2" w:rsidRDefault="007F61E2" w:rsidP="007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pre vs post training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: BBS ↑, TUG ↑</w:t>
            </w:r>
          </w:p>
        </w:tc>
        <w:tc>
          <w:tcPr>
            <w:tcW w:w="7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61E2" w:rsidRPr="007F61E2" w:rsidRDefault="007F61E2" w:rsidP="007F6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1E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it-IT"/>
              </w:rPr>
              <w:t>NA </w:t>
            </w:r>
          </w:p>
        </w:tc>
      </w:tr>
      <w:tr w:rsidR="007C4023" w:rsidRPr="007F61E2" w:rsidTr="007F61E2">
        <w:trPr>
          <w:trHeight w:val="19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OGD: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Knee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guidance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Font-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Llagunes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J.M., 2020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To present the mechanical design and the control architecture of the developed robotic orthosis and to perform a pilot biomechanical assessment of the walking kinematics of a 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lastRenderedPageBreak/>
              <w:t>single patient using that device.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23" w:rsidRPr="007F61E2" w:rsidRDefault="007F61E2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val="en-US" w:eastAsia="it-IT"/>
              </w:rPr>
              <w:lastRenderedPageBreak/>
              <w:t>NA </w:t>
            </w:r>
            <w:r w:rsidR="007C4023"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23" w:rsidRPr="007F61E2" w:rsidRDefault="007C4023" w:rsidP="007F61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test 1 vs test 2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: COM lateral displacement </w:t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↓</w:t>
            </w:r>
          </w:p>
        </w:tc>
      </w:tr>
      <w:tr w:rsidR="007C4023" w:rsidRPr="007F61E2" w:rsidTr="007F61E2">
        <w:trPr>
          <w:trHeight w:val="23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TTD: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Foot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guidance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Daunoraviciene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K., 2018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To estimate and quantify changes in the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postacute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stage, mainly related to heart rate and blood pressure in functional recovery, postural parameters, walking ability and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psychoemotional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reactions, during training using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averticalization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TT robot.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pre vs post training: </w:t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br/>
              <w:t>stroke: </w:t>
            </w: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BBS* ↑,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Tinetti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* ↑ (walking speed, sit down-stand up time, walking distance)</w:t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br/>
              <w:t>SCI: </w:t>
            </w: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BBS* ↑,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Tinetti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(not fully applicable)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23" w:rsidRPr="007F61E2" w:rsidRDefault="007F61E2" w:rsidP="007F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it-IT"/>
              </w:rPr>
              <w:t>NA </w:t>
            </w:r>
            <w:r w:rsidR="007C4023"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</w:tbl>
    <w:p w:rsidR="007C4023" w:rsidRDefault="007C4023" w:rsidP="007C4023">
      <w:pPr>
        <w:rPr>
          <w:lang w:val="en-US"/>
        </w:rPr>
      </w:pPr>
    </w:p>
    <w:p w:rsidR="007C4023" w:rsidRDefault="007C4023" w:rsidP="007C4023">
      <w:pPr>
        <w:rPr>
          <w:lang w:val="en-US"/>
        </w:rPr>
      </w:pPr>
    </w:p>
    <w:p w:rsidR="007F61E2" w:rsidRDefault="007F61E2" w:rsidP="007C4023">
      <w:pPr>
        <w:rPr>
          <w:lang w:val="en-US"/>
        </w:rPr>
      </w:pPr>
    </w:p>
    <w:p w:rsidR="007F61E2" w:rsidRDefault="007F61E2" w:rsidP="007C4023">
      <w:pPr>
        <w:rPr>
          <w:lang w:val="en-US"/>
        </w:rPr>
      </w:pPr>
    </w:p>
    <w:p w:rsidR="007F61E2" w:rsidRDefault="007F61E2" w:rsidP="007C4023">
      <w:pPr>
        <w:rPr>
          <w:lang w:val="en-US"/>
        </w:rPr>
      </w:pPr>
    </w:p>
    <w:p w:rsidR="007C4023" w:rsidRDefault="007C4023" w:rsidP="007C4023">
      <w:pPr>
        <w:rPr>
          <w:lang w:val="en-US"/>
        </w:rPr>
      </w:pPr>
    </w:p>
    <w:p w:rsidR="007C4023" w:rsidRDefault="007C4023" w:rsidP="007C4023">
      <w:pPr>
        <w:rPr>
          <w:lang w:val="en-US"/>
        </w:rPr>
      </w:pPr>
    </w:p>
    <w:p w:rsidR="007C4023" w:rsidRDefault="007C4023" w:rsidP="007C4023">
      <w:pPr>
        <w:rPr>
          <w:lang w:val="en-US"/>
        </w:rPr>
      </w:pPr>
    </w:p>
    <w:p w:rsidR="007C4023" w:rsidRDefault="007C4023" w:rsidP="007C4023">
      <w:pPr>
        <w:rPr>
          <w:lang w:val="en-US"/>
        </w:rPr>
      </w:pPr>
    </w:p>
    <w:p w:rsidR="007C4023" w:rsidRDefault="007C4023" w:rsidP="007C4023">
      <w:pPr>
        <w:rPr>
          <w:lang w:val="en-US"/>
        </w:r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1455"/>
        <w:gridCol w:w="2140"/>
        <w:gridCol w:w="2607"/>
        <w:gridCol w:w="4720"/>
        <w:gridCol w:w="2620"/>
      </w:tblGrid>
      <w:tr w:rsidR="007C4023" w:rsidRPr="007F61E2" w:rsidTr="002D1E6C">
        <w:trPr>
          <w:trHeight w:val="310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7C4023" w:rsidRPr="007F61E2" w:rsidRDefault="007F61E2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Technology-</w:t>
            </w:r>
            <w:proofErr w:type="spellStart"/>
            <w:r w:rsidRPr="007F61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assisted</w:t>
            </w:r>
            <w:proofErr w:type="spellEnd"/>
            <w:r w:rsidRPr="007F61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61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assessment</w:t>
            </w:r>
            <w:proofErr w:type="spellEnd"/>
            <w:r w:rsidRPr="007F61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61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studies</w:t>
            </w:r>
            <w:proofErr w:type="spellEnd"/>
          </w:p>
        </w:tc>
      </w:tr>
      <w:tr w:rsidR="007C4023" w:rsidRPr="007F61E2" w:rsidTr="007F61E2">
        <w:trPr>
          <w:trHeight w:val="7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Device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type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Study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MAIN GOAL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CLINICAL SCALE ASSESSMENT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INSTRUMENTAL ASSESSMENT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CORRELATION between clinical and instrumental outcomes</w:t>
            </w:r>
          </w:p>
        </w:tc>
      </w:tr>
      <w:tr w:rsidR="007C4023" w:rsidRPr="007F61E2" w:rsidTr="007F61E2">
        <w:trPr>
          <w:trHeight w:val="137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Force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plate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Harel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J., 2013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To improve assessment of seated balance in individuals with paraplegia.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healthy vs SCI groups:</w:t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br/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BBS (domain 3): healthy &gt; SCI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br/>
            </w:r>
            <w:proofErr w:type="spellStart"/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mFRT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: healthy &gt; SCI**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healthy vs SCI groups: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br/>
              <w:t>CTSIB: healthy &gt; SCI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br/>
            </w: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COG LOS: healthy &gt; SCI (End point excursion**; Maximum excursion**; Directional control*)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COG LOS directional control: highest correlation with lesion level*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;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br/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mFRT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: weakest correlation with lesion level</w:t>
            </w:r>
          </w:p>
        </w:tc>
      </w:tr>
      <w:tr w:rsidR="007C4023" w:rsidRPr="007F61E2" w:rsidTr="007F61E2">
        <w:trPr>
          <w:trHeight w:val="231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Force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plate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Shin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S., 2013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To investigate VTC analysis of seated postural control in individuals with SCI.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healthy vs high lesion vs low lesion groups:</w:t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br/>
            </w:r>
            <w:proofErr w:type="spellStart"/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mFRT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: healthy &gt; low lesion; </w:t>
            </w: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healthy &gt; high lesion*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; low lesion &gt; high lesion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healthy vs high lesion vs low lesion groups:</w:t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br/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COP velocity: healthy &lt; low lesion &lt; high lesion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br/>
              <w:t>COP RMS: healthy &lt; low lesion &lt; high lesion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br/>
            </w: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COP Functional boundary: 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healthy &gt; low lesion; </w:t>
            </w: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healthy &gt; high lesion*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; low lesion &gt; high lesion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br/>
            </w: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COP VTC mean: healthy &gt; low lesion*; healthy &gt; high lesion**; low lesion &gt; high lesion*</w:t>
            </w: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br/>
              <w:t>COP Instability index: healthy &lt; low lesion**; healthy &lt; high lesion**; low lesion &lt; high lesion**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7C4023" w:rsidRPr="007F61E2" w:rsidTr="007F61E2">
        <w:trPr>
          <w:trHeight w:val="188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Force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plate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Lemay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J.F., 2013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To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analsye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Smart Balance Master (SBM) tests for balance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assessement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in individuals with AIS D.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paraplegia vs tetraplegia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groups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:</w:t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br/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BBS: paraplegia ↓ tetraplegia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paraplegia vs tetraplegia groups:</w:t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br/>
              <w:t>open eyes: 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br/>
              <w:t>Static test: para &gt; tetra (COG sway areas)</w:t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br/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COG LOS test: para &lt; tetra (movement time; path sway)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br/>
              <w:t>Weight-shifting tests: para &gt; tetra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medio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-lateral), para &lt; tetra (forward-backward)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br/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>closed eyes:</w:t>
            </w:r>
            <w:r w:rsidRPr="007F6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br/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Static test: para &gt; tetra (COG sway area)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BBS: inverse correlation with open/closed eyes static test*, with COG LOS test**, with weight-shifting test 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foward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-backward**</w:t>
            </w: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medio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-lateral)</w:t>
            </w:r>
          </w:p>
        </w:tc>
      </w:tr>
      <w:tr w:rsidR="007C4023" w:rsidRPr="007F61E2" w:rsidTr="007F61E2">
        <w:trPr>
          <w:trHeight w:val="432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Stabilometric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plate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Tamburella F., 2014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To determine the reliability, validity, and responsiveness of COP parameters under various test conditions (open/closed eyes, open(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cloesd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 feet) and define the protocol suitable for specifically assessing balance in individuals with incomplete motor SCI.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23" w:rsidRPr="007F61E2" w:rsidRDefault="007C4023" w:rsidP="002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Reliability: the most repeatable parameters were COP L***, V*** and VLL*** for OF-OE and OF-CE conditions; </w:t>
            </w: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br/>
              <w:t xml:space="preserve">Validity: the most valid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parameteres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 in the correlation with BBS and </w:t>
            </w:r>
            <w:proofErr w:type="spellStart"/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Tinetti</w:t>
            </w:r>
            <w:proofErr w:type="spellEnd"/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 scale were COP L***, V*** and VLL*** mainly in OF-OE condition; </w:t>
            </w:r>
            <w:r w:rsidRPr="007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br/>
              <w:t>Responsiveness: the most responsive parameters were COP L*, V*, VLL* and VAP* mainly in OF-OE and CF-CE conditions.</w:t>
            </w:r>
          </w:p>
        </w:tc>
      </w:tr>
    </w:tbl>
    <w:p w:rsidR="007C4023" w:rsidRPr="000566E3" w:rsidRDefault="007C4023" w:rsidP="007C4023">
      <w:pPr>
        <w:rPr>
          <w:lang w:val="en-US"/>
        </w:rPr>
      </w:pPr>
    </w:p>
    <w:p w:rsidR="007F61E2" w:rsidRPr="007F61E2" w:rsidRDefault="007F61E2" w:rsidP="007F61E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 w:rsidRPr="007F61E2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clinical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instrumental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outcome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measures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related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to balance,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grouped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rehabilitation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or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assessment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Upward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downward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arrows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(↑/↓) indicate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increase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decrease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related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metrics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Asterisks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indicate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statistically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variations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(* p&lt;0.05, ** p&lt; 0.01 *** p&lt;0.001). </w:t>
      </w:r>
    </w:p>
    <w:p w:rsidR="007F61E2" w:rsidRPr="007F61E2" w:rsidRDefault="007F61E2" w:rsidP="007F61E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7F61E2">
        <w:rPr>
          <w:rFonts w:ascii="Times New Roman" w:hAnsi="Times New Roman" w:cs="Times New Roman"/>
          <w:sz w:val="20"/>
          <w:szCs w:val="20"/>
        </w:rPr>
        <w:t xml:space="preserve">[ABC: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Activities-Specific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Balance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Confidence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; AREA-CE: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confidence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ellipse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area; ASIA: American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Spinal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Injury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Association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Impairment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Scale; BBS: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berg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balance scale; BWSTT: body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weight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support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treadmill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training; CE: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closed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eyes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; CF: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closed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feet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; COG: centre of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gravity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; COM: centre of mass; COP: centre of pressure; FRT: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Functional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Reach Test; FU: follow-up; LOS: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limits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stability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mFRT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modified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Functional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Reach Test; MME: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multimodal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exercise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nc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not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calculable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; NJ: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normal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jerk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; OGD: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overground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device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; OE: open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eyes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; OF: open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feet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>; p: p-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value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pt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patient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; RMS: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root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mean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square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; RVEL: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root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mean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velocity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; SCI: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spinal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cord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injury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; ST: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strength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training; TBD: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treadmill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device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; TM: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treadmill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exercise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; TMBWSD: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Treadmill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Body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Weight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Supported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Device; TTD: tilt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table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device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; TUG: time up and go; UC: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usual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care; VTC: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virtual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 xml:space="preserve"> time to </w:t>
      </w:r>
      <w:proofErr w:type="spellStart"/>
      <w:r w:rsidRPr="007F61E2">
        <w:rPr>
          <w:rFonts w:ascii="Times New Roman" w:hAnsi="Times New Roman" w:cs="Times New Roman"/>
          <w:sz w:val="20"/>
          <w:szCs w:val="20"/>
        </w:rPr>
        <w:t>contact</w:t>
      </w:r>
      <w:proofErr w:type="spellEnd"/>
      <w:r w:rsidRPr="007F61E2">
        <w:rPr>
          <w:rFonts w:ascii="Times New Roman" w:hAnsi="Times New Roman" w:cs="Times New Roman"/>
          <w:sz w:val="20"/>
          <w:szCs w:val="20"/>
        </w:rPr>
        <w:t>].</w:t>
      </w:r>
    </w:p>
    <w:bookmarkEnd w:id="0"/>
    <w:p w:rsidR="00405234" w:rsidRPr="007C4023" w:rsidRDefault="00405234">
      <w:pPr>
        <w:rPr>
          <w:lang w:val="en-US"/>
        </w:rPr>
      </w:pPr>
    </w:p>
    <w:sectPr w:rsidR="00405234" w:rsidRPr="007C4023" w:rsidSect="000566E3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QwNDewsLQ0sjA3MTdR0lEKTi0uzszPAykwrAUA5i8GhiwAAAA="/>
  </w:docVars>
  <w:rsids>
    <w:rsidRoot w:val="007C4023"/>
    <w:rsid w:val="00405234"/>
    <w:rsid w:val="00684FD8"/>
    <w:rsid w:val="007C4023"/>
    <w:rsid w:val="007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10F3"/>
  <w15:chartTrackingRefBased/>
  <w15:docId w15:val="{363B39BC-1860-4B34-8F5C-84AB1D43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40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Tramontano Marco</cp:lastModifiedBy>
  <cp:revision>2</cp:revision>
  <dcterms:created xsi:type="dcterms:W3CDTF">2022-03-15T11:28:00Z</dcterms:created>
  <dcterms:modified xsi:type="dcterms:W3CDTF">2022-03-15T11:28:00Z</dcterms:modified>
</cp:coreProperties>
</file>