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B830" w14:textId="5D0EB99C" w:rsidR="00226D67" w:rsidRPr="00AD6620" w:rsidRDefault="00160CD6" w:rsidP="00FF3798">
      <w:pPr>
        <w:rPr>
          <w:sz w:val="20"/>
          <w:szCs w:val="20"/>
        </w:rPr>
      </w:pPr>
      <w:r w:rsidRPr="00FF3798">
        <w:rPr>
          <w:b/>
          <w:sz w:val="20"/>
          <w:szCs w:val="20"/>
        </w:rPr>
        <w:t>Supplemental table 1:</w:t>
      </w:r>
      <w:r>
        <w:rPr>
          <w:sz w:val="20"/>
          <w:szCs w:val="20"/>
        </w:rPr>
        <w:t xml:space="preserve"> Characteristics of 139 patients who did not undergo metastasectomy.</w:t>
      </w:r>
    </w:p>
    <w:tbl>
      <w:tblPr>
        <w:tblpPr w:leftFromText="141" w:rightFromText="141" w:bottomFromText="16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62"/>
        <w:gridCol w:w="1495"/>
        <w:gridCol w:w="1276"/>
        <w:gridCol w:w="708"/>
      </w:tblGrid>
      <w:tr w:rsidR="00160CD6" w14:paraId="19BAA99D" w14:textId="77777777" w:rsidTr="00160CD6">
        <w:trPr>
          <w:trHeight w:hRule="exact" w:val="29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D39E" w14:textId="77777777" w:rsidR="00160CD6" w:rsidRDefault="00160CD6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At diagnosis of primary RCC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277F" w14:textId="77777777" w:rsidR="00160CD6" w:rsidRDefault="00160CD6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F77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160CD6" w14:paraId="1872B793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9989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C22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573CA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92/139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7DE95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66%</w:t>
            </w:r>
          </w:p>
        </w:tc>
      </w:tr>
      <w:tr w:rsidR="00160CD6" w14:paraId="343D4B51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933C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Age (median, IQ range)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44E0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 (55-68)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26298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</w:p>
        </w:tc>
      </w:tr>
      <w:tr w:rsidR="00160CD6" w14:paraId="034B5C98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440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T-stage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2C0E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16E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B1E04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16%</w:t>
            </w:r>
          </w:p>
        </w:tc>
      </w:tr>
      <w:tr w:rsidR="00160CD6" w14:paraId="2BAF2FE8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BDE39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93AF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71FD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CDE77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16%</w:t>
            </w:r>
          </w:p>
        </w:tc>
      </w:tr>
      <w:tr w:rsidR="00160CD6" w14:paraId="1D87B6F8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DA55A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D783D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907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89/139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993E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64%</w:t>
            </w:r>
          </w:p>
        </w:tc>
      </w:tr>
      <w:tr w:rsidR="00160CD6" w14:paraId="5BD6E8FC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2FA98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836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17C0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02B0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4%</w:t>
            </w:r>
          </w:p>
        </w:tc>
      </w:tr>
      <w:tr w:rsidR="00160CD6" w14:paraId="60CD4007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4FD9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Lymph node positive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4EDD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29/99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B5949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29%</w:t>
            </w:r>
          </w:p>
        </w:tc>
      </w:tr>
      <w:tr w:rsidR="00160CD6" w14:paraId="362409E5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E25C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Synchronous metastases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C504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76/139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1BAB2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55%</w:t>
            </w:r>
          </w:p>
        </w:tc>
      </w:tr>
      <w:tr w:rsidR="00160CD6" w14:paraId="418E69AD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C57C2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Fuhrman grade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F5E7B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669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1/138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2A10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1%</w:t>
            </w:r>
          </w:p>
        </w:tc>
      </w:tr>
      <w:tr w:rsidR="00160CD6" w14:paraId="3C2EFE8D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DEBA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546F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FAFB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6/138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922F5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4%</w:t>
            </w:r>
          </w:p>
        </w:tc>
      </w:tr>
      <w:tr w:rsidR="00160CD6" w14:paraId="61239B3C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3020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B31B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EF72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44/138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C3329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32%</w:t>
            </w:r>
          </w:p>
        </w:tc>
      </w:tr>
      <w:tr w:rsidR="00160CD6" w14:paraId="3B2384F0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74A01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ECFD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7640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87/138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D347D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63%</w:t>
            </w:r>
          </w:p>
        </w:tc>
      </w:tr>
      <w:tr w:rsidR="00160CD6" w14:paraId="43B2F798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FC9B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Sarcomatoid component</w:t>
            </w:r>
          </w:p>
          <w:p w14:paraId="5EDB871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</w:p>
          <w:p w14:paraId="26D9797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compoponent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dedifferentation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6498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36/127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EFAA8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28%</w:t>
            </w:r>
          </w:p>
        </w:tc>
      </w:tr>
      <w:tr w:rsidR="00160CD6" w14:paraId="471F5827" w14:textId="77777777" w:rsidTr="00160CD6">
        <w:trPr>
          <w:trHeight w:hRule="exact" w:val="248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14D5F" w14:textId="77777777" w:rsidR="00160CD6" w:rsidRDefault="00160CD6">
            <w:pPr>
              <w:spacing w:line="480" w:lineRule="auto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At start of systemic therapy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21678" w14:textId="77777777" w:rsidR="00160CD6" w:rsidRDefault="00160CD6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D515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FFFFFF" w:themeColor="background1"/>
              </w:rPr>
            </w:pPr>
          </w:p>
        </w:tc>
      </w:tr>
      <w:tr w:rsidR="00160CD6" w14:paraId="6579617B" w14:textId="77777777" w:rsidTr="00160CD6">
        <w:trPr>
          <w:trHeight w:hRule="exact" w:val="303"/>
        </w:trPr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59BA0" w14:textId="77777777" w:rsidR="00160CD6" w:rsidRDefault="00160CD6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Metastases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FF93A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9176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4F6B4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17%</w:t>
            </w:r>
          </w:p>
        </w:tc>
      </w:tr>
      <w:tr w:rsidR="00160CD6" w14:paraId="443DD786" w14:textId="77777777" w:rsidTr="00160CD6">
        <w:trPr>
          <w:trHeight w:hRule="exact" w:val="303"/>
        </w:trPr>
        <w:tc>
          <w:tcPr>
            <w:tcW w:w="46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9DA2E4" w14:textId="77777777" w:rsidR="00160CD6" w:rsidRDefault="00160CD6">
            <w:pPr>
              <w:spacing w:after="0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F04A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2766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1672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36%</w:t>
            </w:r>
          </w:p>
        </w:tc>
      </w:tr>
      <w:tr w:rsidR="00160CD6" w14:paraId="44484B0E" w14:textId="77777777" w:rsidTr="00160CD6">
        <w:trPr>
          <w:trHeight w:hRule="exact" w:val="303"/>
        </w:trPr>
        <w:tc>
          <w:tcPr>
            <w:tcW w:w="46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820DCB" w14:textId="77777777" w:rsidR="00160CD6" w:rsidRDefault="00160CD6">
            <w:pPr>
              <w:spacing w:after="0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7DD9D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≥3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DCB1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66/139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42EE8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47%</w:t>
            </w:r>
          </w:p>
        </w:tc>
      </w:tr>
      <w:tr w:rsidR="00160CD6" w14:paraId="05D4FA07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2A9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Organs affected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6F72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A2FAB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A95B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17%</w:t>
            </w:r>
          </w:p>
        </w:tc>
      </w:tr>
      <w:tr w:rsidR="00160CD6" w14:paraId="1A4A26D0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89C95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BE94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3662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51/139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2A4A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37%</w:t>
            </w:r>
          </w:p>
        </w:tc>
      </w:tr>
      <w:tr w:rsidR="00160CD6" w14:paraId="2C873827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A972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4308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≥3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5F0F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A6310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47%</w:t>
            </w:r>
          </w:p>
        </w:tc>
      </w:tr>
      <w:tr w:rsidR="00160CD6" w14:paraId="172B6BD1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1F3C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Site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06CF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lymph nodes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F08EA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84/139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F16B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60%</w:t>
            </w:r>
          </w:p>
        </w:tc>
      </w:tr>
      <w:tr w:rsidR="00160CD6" w14:paraId="13D0DB41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3F183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51E7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lung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E4FB0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102/139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3DCF8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73%</w:t>
            </w:r>
          </w:p>
        </w:tc>
      </w:tr>
      <w:tr w:rsidR="00160CD6" w14:paraId="5B2F7716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1930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38B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B2B4E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927FB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22%</w:t>
            </w:r>
          </w:p>
        </w:tc>
      </w:tr>
      <w:tr w:rsidR="00160CD6" w14:paraId="5CA19B2B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87BF5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82E3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2918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5F12A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4%</w:t>
            </w:r>
          </w:p>
        </w:tc>
      </w:tr>
      <w:tr w:rsidR="00160CD6" w14:paraId="399FF898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A254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44F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kidney/local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C600A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D5559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15%</w:t>
            </w:r>
          </w:p>
        </w:tc>
      </w:tr>
      <w:tr w:rsidR="00160CD6" w14:paraId="580A716D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0C113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BD84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adrenal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2EF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71696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14%</w:t>
            </w:r>
          </w:p>
        </w:tc>
      </w:tr>
      <w:tr w:rsidR="00160CD6" w14:paraId="58B17E90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4E6C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4752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pancreas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3F69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71A87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6%</w:t>
            </w:r>
          </w:p>
        </w:tc>
      </w:tr>
      <w:tr w:rsidR="00160CD6" w14:paraId="0408C99F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14C21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2647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4A78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64/139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AF940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46%</w:t>
            </w:r>
          </w:p>
        </w:tc>
      </w:tr>
      <w:tr w:rsidR="00160CD6" w14:paraId="65689A3C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832B" w14:textId="77777777" w:rsidR="00160CD6" w:rsidRDefault="00160CD6">
            <w:pPr>
              <w:rPr>
                <w:rFonts w:cstheme="minorHAnsi"/>
                <w:i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4017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A500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BB843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30%</w:t>
            </w:r>
          </w:p>
        </w:tc>
      </w:tr>
      <w:tr w:rsidR="00160CD6" w14:paraId="40AF582C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1DCF7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KPS &lt; 80%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6E28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28/128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ECA6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22%</w:t>
            </w:r>
          </w:p>
        </w:tc>
      </w:tr>
      <w:tr w:rsidR="00160CD6" w14:paraId="2CECF6AF" w14:textId="77777777" w:rsidTr="00160CD6">
        <w:trPr>
          <w:trHeight w:hRule="exact" w:val="30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6ED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Anemia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72CA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213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82/132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C224E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62%</w:t>
            </w:r>
          </w:p>
        </w:tc>
      </w:tr>
      <w:tr w:rsidR="00160CD6" w14:paraId="5D711EFB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643B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Elevated neutrophils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1D7F2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73/131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0E59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56%</w:t>
            </w:r>
          </w:p>
        </w:tc>
      </w:tr>
      <w:tr w:rsidR="00160CD6" w14:paraId="560797E8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E7B4B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Elevated platelets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CD81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16/131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9ECA0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12%</w:t>
            </w:r>
          </w:p>
        </w:tc>
      </w:tr>
      <w:tr w:rsidR="00160CD6" w14:paraId="48694556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7AB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Hypercalcemia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EC937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28/122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A38FF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23%</w:t>
            </w:r>
          </w:p>
        </w:tc>
      </w:tr>
      <w:tr w:rsidR="00160CD6" w14:paraId="3F01203E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BEA6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Elevated CRP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FA7F1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99/131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A6E2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76%</w:t>
            </w:r>
          </w:p>
        </w:tc>
      </w:tr>
      <w:tr w:rsidR="00160CD6" w14:paraId="5EB569F8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B2D5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LDH &gt; 1.5 ULN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F53B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6/128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B987B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5%</w:t>
            </w:r>
          </w:p>
        </w:tc>
      </w:tr>
      <w:tr w:rsidR="00160CD6" w14:paraId="11DAEC08" w14:textId="77777777" w:rsidTr="00160CD6">
        <w:trPr>
          <w:trHeight w:hRule="exact" w:val="303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F2D47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&lt;12mo to systemic therapy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8E300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85/138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9212F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62%</w:t>
            </w:r>
          </w:p>
        </w:tc>
      </w:tr>
      <w:tr w:rsidR="00160CD6" w14:paraId="47E03B02" w14:textId="77777777" w:rsidTr="00160CD6">
        <w:trPr>
          <w:trHeight w:hRule="exact" w:val="303"/>
        </w:trPr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DAE39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IMDC risk group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186D7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EC08C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12/130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778D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9%</w:t>
            </w:r>
          </w:p>
        </w:tc>
      </w:tr>
      <w:tr w:rsidR="00160CD6" w14:paraId="0B06E8D1" w14:textId="77777777" w:rsidTr="00160CD6">
        <w:trPr>
          <w:trHeight w:hRule="exact" w:val="303"/>
        </w:trPr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8CF4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1C38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Intermediate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7774D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79/130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87681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61%</w:t>
            </w:r>
          </w:p>
        </w:tc>
      </w:tr>
      <w:tr w:rsidR="00160CD6" w14:paraId="1F37B776" w14:textId="77777777" w:rsidTr="00160CD6">
        <w:trPr>
          <w:trHeight w:hRule="exact" w:val="303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E450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A4893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F09FE" w14:textId="77777777" w:rsidR="00160CD6" w:rsidRDefault="00160CD6">
            <w:pPr>
              <w:spacing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39/130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1FE6" w14:textId="77777777" w:rsidR="00160CD6" w:rsidRDefault="00160CD6">
            <w:pPr>
              <w:spacing w:line="48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30%</w:t>
            </w:r>
          </w:p>
        </w:tc>
      </w:tr>
    </w:tbl>
    <w:p w14:paraId="3785FBD7" w14:textId="77777777" w:rsidR="00160CD6" w:rsidRDefault="00160CD6" w:rsidP="00160CD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KPS = </w:t>
      </w:r>
      <w:proofErr w:type="spellStart"/>
      <w:r>
        <w:rPr>
          <w:sz w:val="20"/>
          <w:szCs w:val="20"/>
        </w:rPr>
        <w:t>Karnofsky</w:t>
      </w:r>
      <w:proofErr w:type="spellEnd"/>
      <w:r>
        <w:rPr>
          <w:sz w:val="20"/>
          <w:szCs w:val="20"/>
        </w:rPr>
        <w:t xml:space="preserve"> performance status; Anemia = hemoglobin &lt; 14g/dl (men) or 12.5g/dl (women); ULN neutrophils = 4.500/µl; ULN platelets = 450.000/µl; ULN albumin-corrected calcium = 2.55mmol/l; CRP = c-reactive protein; ULN CRP= 5mg/l; LDH = lactate dehydrogenase; ULN = upper limit of normal.</w:t>
      </w:r>
    </w:p>
    <w:p w14:paraId="2A1B3602" w14:textId="77777777" w:rsidR="00226D67" w:rsidRDefault="00226D67" w:rsidP="00226D67">
      <w:pPr>
        <w:spacing w:line="480" w:lineRule="auto"/>
        <w:jc w:val="both"/>
      </w:pPr>
    </w:p>
    <w:p w14:paraId="70F3A877" w14:textId="77777777" w:rsidR="00956A2B" w:rsidRDefault="00956A2B" w:rsidP="00956A2B">
      <w:pPr>
        <w:spacing w:line="480" w:lineRule="auto"/>
        <w:jc w:val="both"/>
      </w:pPr>
    </w:p>
    <w:p w14:paraId="4E92D0D8" w14:textId="77777777" w:rsidR="00956A2B" w:rsidRDefault="00956A2B" w:rsidP="00956A2B">
      <w:pPr>
        <w:spacing w:line="480" w:lineRule="auto"/>
        <w:jc w:val="both"/>
      </w:pPr>
    </w:p>
    <w:p w14:paraId="7162D2CC" w14:textId="77777777" w:rsidR="00515990" w:rsidRDefault="00515990" w:rsidP="00971BB2">
      <w:pPr>
        <w:spacing w:line="480" w:lineRule="auto"/>
      </w:pPr>
    </w:p>
    <w:sectPr w:rsidR="0051599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AAEF" w14:textId="77777777" w:rsidR="007E2F3E" w:rsidRDefault="007E2F3E" w:rsidP="00FD4297">
      <w:pPr>
        <w:spacing w:after="0" w:line="240" w:lineRule="auto"/>
      </w:pPr>
      <w:r>
        <w:separator/>
      </w:r>
    </w:p>
  </w:endnote>
  <w:endnote w:type="continuationSeparator" w:id="0">
    <w:p w14:paraId="488271C7" w14:textId="77777777" w:rsidR="007E2F3E" w:rsidRDefault="007E2F3E" w:rsidP="00FD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74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A16BF" w14:textId="77777777" w:rsidR="00964D7F" w:rsidRDefault="00964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F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377B92" w14:textId="77777777" w:rsidR="00964D7F" w:rsidRDefault="0096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EB4E" w14:textId="77777777" w:rsidR="007E2F3E" w:rsidRDefault="007E2F3E" w:rsidP="00FD4297">
      <w:pPr>
        <w:spacing w:after="0" w:line="240" w:lineRule="auto"/>
      </w:pPr>
      <w:r>
        <w:separator/>
      </w:r>
    </w:p>
  </w:footnote>
  <w:footnote w:type="continuationSeparator" w:id="0">
    <w:p w14:paraId="4D55F7CF" w14:textId="77777777" w:rsidR="007E2F3E" w:rsidRDefault="007E2F3E" w:rsidP="00FD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BF"/>
    <w:rsid w:val="00070BC8"/>
    <w:rsid w:val="000F58A0"/>
    <w:rsid w:val="00102282"/>
    <w:rsid w:val="00160CD6"/>
    <w:rsid w:val="001916DD"/>
    <w:rsid w:val="0022415A"/>
    <w:rsid w:val="00226D67"/>
    <w:rsid w:val="002450C6"/>
    <w:rsid w:val="002E2024"/>
    <w:rsid w:val="003114B7"/>
    <w:rsid w:val="0034338C"/>
    <w:rsid w:val="003B7585"/>
    <w:rsid w:val="00494AE2"/>
    <w:rsid w:val="004A30CD"/>
    <w:rsid w:val="00515990"/>
    <w:rsid w:val="0055774B"/>
    <w:rsid w:val="005B073E"/>
    <w:rsid w:val="00642DFB"/>
    <w:rsid w:val="00692F64"/>
    <w:rsid w:val="006B5BFD"/>
    <w:rsid w:val="007E02E8"/>
    <w:rsid w:val="007E2F3E"/>
    <w:rsid w:val="00893F20"/>
    <w:rsid w:val="00920CE2"/>
    <w:rsid w:val="00930228"/>
    <w:rsid w:val="009430BC"/>
    <w:rsid w:val="00956A2B"/>
    <w:rsid w:val="00964D7F"/>
    <w:rsid w:val="00971BB2"/>
    <w:rsid w:val="00AE2F0C"/>
    <w:rsid w:val="00B4003D"/>
    <w:rsid w:val="00B74A41"/>
    <w:rsid w:val="00D2046C"/>
    <w:rsid w:val="00D35401"/>
    <w:rsid w:val="00D530B0"/>
    <w:rsid w:val="00E359BF"/>
    <w:rsid w:val="00E7289E"/>
    <w:rsid w:val="00FA696E"/>
    <w:rsid w:val="00FD429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5C673"/>
  <w15:chartTrackingRefBased/>
  <w15:docId w15:val="{6F56F110-C946-490C-B862-F6FAD80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BF"/>
  </w:style>
  <w:style w:type="paragraph" w:styleId="Heading1">
    <w:name w:val="heading 1"/>
    <w:basedOn w:val="Normal"/>
    <w:next w:val="Normal"/>
    <w:link w:val="Heading1Char"/>
    <w:uiPriority w:val="9"/>
    <w:qFormat/>
    <w:rsid w:val="00E3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359BF"/>
    <w:pPr>
      <w:ind w:left="720"/>
      <w:contextualSpacing/>
    </w:pPr>
    <w:rPr>
      <w:rFonts w:eastAsiaTheme="minorEastAsia"/>
      <w:lang w:val="nl-BE"/>
    </w:rPr>
  </w:style>
  <w:style w:type="character" w:styleId="Hyperlink">
    <w:name w:val="Hyperlink"/>
    <w:basedOn w:val="DefaultParagraphFont"/>
    <w:uiPriority w:val="99"/>
    <w:unhideWhenUsed/>
    <w:rsid w:val="00E359B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59BF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customStyle="1" w:styleId="Default">
    <w:name w:val="Default"/>
    <w:rsid w:val="00E359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97"/>
  </w:style>
  <w:style w:type="paragraph" w:styleId="Footer">
    <w:name w:val="footer"/>
    <w:basedOn w:val="Normal"/>
    <w:link w:val="FooterChar"/>
    <w:uiPriority w:val="99"/>
    <w:unhideWhenUsed/>
    <w:rsid w:val="00FD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97"/>
  </w:style>
  <w:style w:type="paragraph" w:styleId="BalloonText">
    <w:name w:val="Balloon Text"/>
    <w:basedOn w:val="Normal"/>
    <w:link w:val="BalloonTextChar"/>
    <w:uiPriority w:val="99"/>
    <w:semiHidden/>
    <w:unhideWhenUsed/>
    <w:rsid w:val="001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Verbiest</dc:creator>
  <cp:keywords/>
  <dc:description/>
  <cp:lastModifiedBy>IT Chennai</cp:lastModifiedBy>
  <cp:revision>2</cp:revision>
  <dcterms:created xsi:type="dcterms:W3CDTF">2020-11-05T12:20:00Z</dcterms:created>
  <dcterms:modified xsi:type="dcterms:W3CDTF">2020-11-05T12:20:00Z</dcterms:modified>
</cp:coreProperties>
</file>