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9E" w:rsidRPr="00C47107" w:rsidRDefault="006F2C9E" w:rsidP="006F2C9E">
      <w:pPr>
        <w:pStyle w:val="tableheading"/>
        <w:jc w:val="left"/>
        <w:rPr>
          <w:sz w:val="24"/>
        </w:rPr>
      </w:pPr>
      <w:proofErr w:type="gramStart"/>
      <w:r w:rsidRPr="00C47107">
        <w:rPr>
          <w:sz w:val="24"/>
        </w:rPr>
        <w:t>Supplementary Table 1</w:t>
      </w:r>
      <w:r>
        <w:rPr>
          <w:sz w:val="24"/>
        </w:rPr>
        <w:t>.</w:t>
      </w:r>
      <w:proofErr w:type="gramEnd"/>
      <w:r w:rsidRPr="00C47107">
        <w:rPr>
          <w:sz w:val="24"/>
        </w:rPr>
        <w:t xml:space="preserve"> Sex differences in homocysteine and urate levels in PD and controls over 54 months</w:t>
      </w:r>
    </w:p>
    <w:tbl>
      <w:tblPr>
        <w:tblW w:w="14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093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F2C9E" w:rsidRPr="00C47107" w:rsidTr="00D9482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Control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PD</w:t>
            </w:r>
          </w:p>
        </w:tc>
      </w:tr>
      <w:tr w:rsidR="006F2C9E" w:rsidRPr="00C47107" w:rsidTr="00D9482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Male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Female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C9E" w:rsidRPr="00C47107" w:rsidRDefault="006F2C9E" w:rsidP="00D94827">
            <w:pPr>
              <w:pStyle w:val="tablebody"/>
              <w:rPr>
                <w:b/>
                <w:sz w:val="24"/>
              </w:rPr>
            </w:pPr>
            <w:r w:rsidRPr="00C47107">
              <w:rPr>
                <w:b/>
                <w:sz w:val="24"/>
              </w:rPr>
              <w:t>t/z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C9E" w:rsidRPr="00C47107" w:rsidRDefault="006F2C9E" w:rsidP="00D94827">
            <w:pPr>
              <w:pStyle w:val="tablebody"/>
              <w:rPr>
                <w:b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p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Male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Female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C9E" w:rsidRPr="00C47107" w:rsidRDefault="006F2C9E" w:rsidP="00D94827">
            <w:pPr>
              <w:pStyle w:val="tablebody"/>
              <w:rPr>
                <w:b/>
                <w:sz w:val="24"/>
              </w:rPr>
            </w:pPr>
            <w:r w:rsidRPr="00C47107">
              <w:rPr>
                <w:b/>
                <w:sz w:val="24"/>
              </w:rPr>
              <w:t>t/z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C9E" w:rsidRPr="00C47107" w:rsidRDefault="006F2C9E" w:rsidP="00D94827">
            <w:pPr>
              <w:pStyle w:val="tablebody"/>
              <w:rPr>
                <w:b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p</w:t>
            </w:r>
          </w:p>
        </w:tc>
      </w:tr>
      <w:tr w:rsidR="006F2C9E" w:rsidRPr="00C47107" w:rsidTr="00D9482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SD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SD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  <w:r w:rsidRPr="00C47107">
              <w:rPr>
                <w:b/>
                <w:color w:val="000000"/>
                <w:sz w:val="24"/>
              </w:rPr>
              <w:t>SD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b/>
                <w:color w:val="000000"/>
                <w:sz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C9E" w:rsidRPr="00C47107" w:rsidRDefault="006F2C9E" w:rsidP="00D94827">
            <w:pPr>
              <w:pStyle w:val="tablebody"/>
              <w:jc w:val="left"/>
              <w:rPr>
                <w:i/>
                <w:iCs/>
                <w:color w:val="000000"/>
                <w:sz w:val="24"/>
              </w:rPr>
            </w:pPr>
            <w:r w:rsidRPr="00C47107">
              <w:rPr>
                <w:i/>
                <w:iCs/>
                <w:color w:val="000000"/>
                <w:sz w:val="24"/>
              </w:rPr>
              <w:t>Urate (µ</w:t>
            </w:r>
            <w:proofErr w:type="spellStart"/>
            <w:r w:rsidRPr="00C47107">
              <w:rPr>
                <w:i/>
                <w:iCs/>
                <w:color w:val="000000"/>
                <w:sz w:val="24"/>
              </w:rPr>
              <w:t>mol</w:t>
            </w:r>
            <w:proofErr w:type="spellEnd"/>
            <w:r w:rsidRPr="00C47107">
              <w:rPr>
                <w:i/>
                <w:iCs/>
                <w:color w:val="000000"/>
                <w:sz w:val="24"/>
              </w:rPr>
              <w:t>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jc w:val="left"/>
              <w:rPr>
                <w:i/>
                <w:color w:val="000000"/>
                <w:sz w:val="24"/>
              </w:rPr>
            </w:pPr>
            <w:r w:rsidRPr="00C47107">
              <w:rPr>
                <w:i/>
                <w:color w:val="000000"/>
                <w:sz w:val="24"/>
              </w:rPr>
              <w:t>Baseline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372.5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71.9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280.7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68.8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b/>
                <w:sz w:val="24"/>
              </w:rPr>
            </w:pPr>
            <w:r w:rsidRPr="00C47107">
              <w:rPr>
                <w:b/>
                <w:sz w:val="24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330.5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68.2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252.5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69.2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b/>
                <w:sz w:val="24"/>
              </w:rPr>
            </w:pPr>
            <w:r w:rsidRPr="00C47107">
              <w:rPr>
                <w:b/>
                <w:sz w:val="24"/>
              </w:rPr>
              <w:t>&lt;0.001</w:t>
            </w:r>
          </w:p>
        </w:tc>
      </w:tr>
      <w:tr w:rsidR="006F2C9E" w:rsidRPr="00C47107" w:rsidTr="00D9482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color w:val="993300"/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jc w:val="left"/>
              <w:rPr>
                <w:i/>
                <w:color w:val="000000"/>
                <w:sz w:val="24"/>
              </w:rPr>
            </w:pPr>
            <w:r w:rsidRPr="00C47107">
              <w:rPr>
                <w:i/>
                <w:color w:val="000000"/>
                <w:sz w:val="24"/>
              </w:rPr>
              <w:t>18 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391.3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78.7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286.1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69.2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b/>
                <w:sz w:val="24"/>
              </w:rPr>
            </w:pPr>
            <w:r w:rsidRPr="00C47107">
              <w:rPr>
                <w:b/>
                <w:sz w:val="24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326.3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72.1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257.7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65.5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b/>
                <w:sz w:val="24"/>
              </w:rPr>
            </w:pPr>
            <w:r w:rsidRPr="00C47107">
              <w:rPr>
                <w:b/>
                <w:sz w:val="24"/>
              </w:rPr>
              <w:t>&lt;0.001</w:t>
            </w:r>
          </w:p>
        </w:tc>
      </w:tr>
      <w:tr w:rsidR="006F2C9E" w:rsidRPr="00C47107" w:rsidTr="00D9482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color w:val="993300"/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jc w:val="left"/>
              <w:rPr>
                <w:i/>
                <w:color w:val="000000"/>
                <w:sz w:val="24"/>
              </w:rPr>
            </w:pPr>
            <w:r w:rsidRPr="00C47107">
              <w:rPr>
                <w:i/>
                <w:color w:val="000000"/>
                <w:sz w:val="24"/>
              </w:rPr>
              <w:t>36 months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374.5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65.6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284.9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66.6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b/>
                <w:sz w:val="24"/>
              </w:rPr>
            </w:pPr>
            <w:r w:rsidRPr="00C47107">
              <w:rPr>
                <w:b/>
                <w:sz w:val="24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325.3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71.5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264.9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70.3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b/>
                <w:sz w:val="24"/>
              </w:rPr>
            </w:pPr>
            <w:r w:rsidRPr="00C47107">
              <w:rPr>
                <w:b/>
                <w:sz w:val="24"/>
              </w:rPr>
              <w:t>&lt;0.001</w:t>
            </w:r>
          </w:p>
        </w:tc>
      </w:tr>
      <w:tr w:rsidR="006F2C9E" w:rsidRPr="00C47107" w:rsidTr="00D9482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color w:val="993300"/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jc w:val="left"/>
              <w:rPr>
                <w:i/>
                <w:color w:val="000000"/>
                <w:sz w:val="24"/>
              </w:rPr>
            </w:pPr>
            <w:r w:rsidRPr="00C47107">
              <w:rPr>
                <w:i/>
                <w:color w:val="000000"/>
                <w:sz w:val="24"/>
              </w:rPr>
              <w:t>54 months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340.0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104.4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221.1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55.7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b/>
                <w:sz w:val="24"/>
              </w:rPr>
            </w:pPr>
            <w:r w:rsidRPr="00C47107">
              <w:rPr>
                <w:b/>
                <w:sz w:val="24"/>
              </w:rPr>
              <w:t>&lt;0.001</w:t>
            </w:r>
          </w:p>
        </w:tc>
      </w:tr>
      <w:tr w:rsidR="006F2C9E" w:rsidRPr="00C47107" w:rsidTr="00D94827">
        <w:trPr>
          <w:trHeight w:val="30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C9E" w:rsidRPr="00C47107" w:rsidRDefault="006F2C9E" w:rsidP="00D94827">
            <w:pPr>
              <w:pStyle w:val="tablebody"/>
              <w:jc w:val="left"/>
              <w:rPr>
                <w:i/>
                <w:iCs/>
                <w:color w:val="000000"/>
                <w:sz w:val="24"/>
              </w:rPr>
            </w:pPr>
            <w:r w:rsidRPr="00C47107">
              <w:rPr>
                <w:i/>
                <w:iCs/>
                <w:color w:val="000000"/>
                <w:sz w:val="24"/>
              </w:rPr>
              <w:t>Homocysteine (µ</w:t>
            </w:r>
            <w:proofErr w:type="spellStart"/>
            <w:r w:rsidRPr="00C47107">
              <w:rPr>
                <w:i/>
                <w:iCs/>
                <w:color w:val="000000"/>
                <w:sz w:val="24"/>
              </w:rPr>
              <w:t>mol</w:t>
            </w:r>
            <w:proofErr w:type="spellEnd"/>
            <w:r w:rsidRPr="00C47107">
              <w:rPr>
                <w:i/>
                <w:iCs/>
                <w:color w:val="000000"/>
                <w:sz w:val="24"/>
              </w:rPr>
              <w:t>/L)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i/>
                <w:iCs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jc w:val="left"/>
              <w:rPr>
                <w:i/>
                <w:color w:val="000000"/>
                <w:sz w:val="24"/>
              </w:rPr>
            </w:pPr>
            <w:r w:rsidRPr="00C47107">
              <w:rPr>
                <w:i/>
                <w:color w:val="000000"/>
                <w:sz w:val="24"/>
              </w:rPr>
              <w:t>Baseline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10.2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b/>
                <w:sz w:val="24"/>
              </w:rPr>
            </w:pPr>
            <w:r w:rsidRPr="00C47107">
              <w:rPr>
                <w:b/>
                <w:sz w:val="24"/>
              </w:rPr>
              <w:t>0.018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11.3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10.6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0.274</w:t>
            </w:r>
          </w:p>
        </w:tc>
      </w:tr>
      <w:tr w:rsidR="006F2C9E" w:rsidRPr="00C47107" w:rsidTr="00D9482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color w:val="993300"/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jc w:val="left"/>
              <w:rPr>
                <w:i/>
                <w:color w:val="000000"/>
                <w:sz w:val="24"/>
              </w:rPr>
            </w:pPr>
            <w:r w:rsidRPr="00C47107">
              <w:rPr>
                <w:i/>
                <w:color w:val="000000"/>
                <w:sz w:val="24"/>
              </w:rPr>
              <w:t>18 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10.6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0.046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0.054</w:t>
            </w:r>
          </w:p>
        </w:tc>
      </w:tr>
      <w:tr w:rsidR="006F2C9E" w:rsidRPr="00C47107" w:rsidTr="00D94827">
        <w:trPr>
          <w:trHeight w:val="300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color w:val="993300"/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jc w:val="left"/>
              <w:rPr>
                <w:i/>
                <w:color w:val="000000"/>
                <w:sz w:val="24"/>
              </w:rPr>
            </w:pPr>
            <w:r w:rsidRPr="00C47107">
              <w:rPr>
                <w:i/>
                <w:color w:val="000000"/>
                <w:sz w:val="24"/>
              </w:rPr>
              <w:t>36 months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13.1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4.7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11.3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3.4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-1.8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0.069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13.9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13.8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-1.7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0.094</w:t>
            </w:r>
          </w:p>
        </w:tc>
      </w:tr>
      <w:tr w:rsidR="006F2C9E" w:rsidRPr="00C47107" w:rsidTr="00D9482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color w:val="993300"/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jc w:val="left"/>
              <w:rPr>
                <w:i/>
                <w:color w:val="000000"/>
                <w:sz w:val="24"/>
              </w:rPr>
            </w:pPr>
            <w:r w:rsidRPr="00C47107">
              <w:rPr>
                <w:i/>
                <w:color w:val="000000"/>
                <w:sz w:val="24"/>
              </w:rPr>
              <w:t>54 months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sz w:val="24"/>
              </w:rPr>
            </w:pPr>
            <w:r w:rsidRPr="00C47107">
              <w:rPr>
                <w:sz w:val="24"/>
              </w:rPr>
              <w:t>-2.2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pStyle w:val="tablebody"/>
              <w:rPr>
                <w:b/>
                <w:sz w:val="24"/>
              </w:rPr>
            </w:pPr>
            <w:r w:rsidRPr="00C47107">
              <w:rPr>
                <w:b/>
                <w:sz w:val="24"/>
              </w:rPr>
              <w:t>0.027</w:t>
            </w:r>
          </w:p>
        </w:tc>
      </w:tr>
    </w:tbl>
    <w:p w:rsidR="006F2C9E" w:rsidRPr="009C6812" w:rsidRDefault="006F2C9E" w:rsidP="006F2C9E">
      <w:pPr>
        <w:pStyle w:val="Caption"/>
        <w:rPr>
          <w:bCs w:val="0"/>
          <w:i w:val="0"/>
        </w:rPr>
        <w:sectPr w:rsidR="006F2C9E" w:rsidRPr="009C6812" w:rsidSect="001B6968">
          <w:footerReference w:type="default" r:id="rId5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 w:rsidRPr="009C6812">
        <w:rPr>
          <w:rFonts w:cs="Arial"/>
          <w:i w:val="0"/>
          <w:sz w:val="24"/>
          <w:szCs w:val="24"/>
        </w:rPr>
        <w:t>PD</w:t>
      </w:r>
      <w:r>
        <w:rPr>
          <w:rFonts w:cs="Arial"/>
          <w:i w:val="0"/>
          <w:sz w:val="24"/>
          <w:szCs w:val="24"/>
        </w:rPr>
        <w:t xml:space="preserve">, </w:t>
      </w:r>
      <w:r w:rsidRPr="009C6812">
        <w:rPr>
          <w:rFonts w:cs="Arial"/>
          <w:i w:val="0"/>
          <w:sz w:val="24"/>
          <w:szCs w:val="24"/>
        </w:rPr>
        <w:t>Parkinson’s disease; SD</w:t>
      </w:r>
      <w:r>
        <w:rPr>
          <w:rFonts w:cs="Arial"/>
          <w:i w:val="0"/>
          <w:sz w:val="24"/>
          <w:szCs w:val="24"/>
        </w:rPr>
        <w:t>, s</w:t>
      </w:r>
      <w:r w:rsidRPr="009C6812">
        <w:rPr>
          <w:rFonts w:cs="Arial"/>
          <w:i w:val="0"/>
          <w:sz w:val="24"/>
          <w:szCs w:val="24"/>
        </w:rPr>
        <w:t>tandard deviation.</w:t>
      </w:r>
      <w:proofErr w:type="gramEnd"/>
      <w:r w:rsidRPr="009C6812">
        <w:rPr>
          <w:rFonts w:cs="Arial"/>
          <w:i w:val="0"/>
          <w:sz w:val="24"/>
          <w:szCs w:val="24"/>
        </w:rPr>
        <w:t xml:space="preserve"> Significant results are highlighted in bold.</w:t>
      </w:r>
    </w:p>
    <w:p w:rsidR="006F2C9E" w:rsidRPr="00FA66C4" w:rsidRDefault="006F2C9E" w:rsidP="006F2C9E">
      <w:pPr>
        <w:rPr>
          <w:b/>
        </w:rPr>
      </w:pPr>
      <w:proofErr w:type="gramStart"/>
      <w:r>
        <w:rPr>
          <w:b/>
        </w:rPr>
        <w:lastRenderedPageBreak/>
        <w:t xml:space="preserve">Supplementary </w:t>
      </w:r>
      <w:r w:rsidRPr="00FA66C4">
        <w:rPr>
          <w:b/>
        </w:rPr>
        <w:t>Table 2</w:t>
      </w:r>
      <w:r>
        <w:rPr>
          <w:b/>
        </w:rPr>
        <w:t>.</w:t>
      </w:r>
      <w:proofErr w:type="gramEnd"/>
      <w:r w:rsidRPr="00FA66C4">
        <w:rPr>
          <w:b/>
        </w:rPr>
        <w:t xml:space="preserve"> Baseline predictors of motor severity </w:t>
      </w:r>
      <w:r>
        <w:rPr>
          <w:b/>
        </w:rPr>
        <w:t xml:space="preserve">and global cognition </w:t>
      </w:r>
      <w:r w:rsidRPr="00FA66C4">
        <w:rPr>
          <w:b/>
        </w:rPr>
        <w:t>over 54 months using linear mixed effects modelling</w:t>
      </w:r>
      <w:r>
        <w:rPr>
          <w:b/>
        </w:rPr>
        <w:t>, adjusting for vascular risk factors and comorbidities</w:t>
      </w:r>
    </w:p>
    <w:tbl>
      <w:tblPr>
        <w:tblW w:w="9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118"/>
        <w:gridCol w:w="1232"/>
        <w:gridCol w:w="1020"/>
        <w:gridCol w:w="1020"/>
        <w:gridCol w:w="1111"/>
        <w:gridCol w:w="703"/>
      </w:tblGrid>
      <w:tr w:rsidR="006F2C9E" w:rsidRPr="00C47107" w:rsidTr="00D948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C47107">
              <w:rPr>
                <w:rFonts w:cs="Arial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420CC5" w:rsidRDefault="006F2C9E" w:rsidP="00D9482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Predictors of MDS-UPDRS III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Basic </w:t>
            </w:r>
            <w:proofErr w:type="spellStart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model</w:t>
            </w: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+ urate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Urate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-0.02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-1.01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0.316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Urate x Time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4.32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E32D31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0387E">
              <w:rPr>
                <w:rFonts w:ascii="Calibri" w:hAnsi="Calibri"/>
                <w:b/>
                <w:color w:val="000000"/>
              </w:rPr>
              <w:t>&lt;0.001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***</w:t>
            </w:r>
          </w:p>
        </w:tc>
      </w:tr>
      <w:tr w:rsidR="006F2C9E" w:rsidRPr="00C47107" w:rsidTr="00D94827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Basic </w:t>
            </w:r>
            <w:proofErr w:type="spellStart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model</w:t>
            </w: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+ homocysteine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proofErr w:type="spellStart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tHyc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1.26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0.211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color w:val="000000"/>
                <w:sz w:val="24"/>
                <w:szCs w:val="24"/>
              </w:rPr>
              <w:t>.</w:t>
            </w: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proofErr w:type="spellStart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tHyc</w:t>
            </w:r>
            <w:proofErr w:type="spellEnd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x Time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3.94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824181">
              <w:rPr>
                <w:rFonts w:ascii="Calibri" w:hAnsi="Calibri"/>
                <w:b/>
                <w:color w:val="000000"/>
              </w:rPr>
              <w:t>&lt;0.001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***</w:t>
            </w:r>
          </w:p>
        </w:tc>
      </w:tr>
      <w:tr w:rsidR="006F2C9E" w:rsidRPr="00C47107" w:rsidTr="00D94827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Basic </w:t>
            </w:r>
            <w:proofErr w:type="spellStart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model</w:t>
            </w: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+ urate + homocysteine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Urate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-0.01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-0.80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0.423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proofErr w:type="spellStart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tHyc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1.50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0.136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color w:val="000000"/>
                <w:sz w:val="24"/>
                <w:szCs w:val="24"/>
              </w:rPr>
              <w:t>.</w:t>
            </w: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Urate x Time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3.30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D0387E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0387E">
              <w:rPr>
                <w:rFonts w:ascii="Calibri" w:hAnsi="Calibri"/>
                <w:b/>
                <w:color w:val="000000"/>
              </w:rPr>
              <w:t>0.001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**</w:t>
            </w: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proofErr w:type="spellStart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tHyc</w:t>
            </w:r>
            <w:proofErr w:type="spellEnd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x Time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2.59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D0387E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0387E">
              <w:rPr>
                <w:rFonts w:ascii="Calibri" w:hAnsi="Calibri"/>
                <w:b/>
                <w:color w:val="000000"/>
              </w:rPr>
              <w:t>0.010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6F2C9E" w:rsidRPr="00C47107" w:rsidTr="00D94827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420CC5" w:rsidRDefault="006F2C9E" w:rsidP="00D9482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Predictors of </w:t>
            </w:r>
            <w:proofErr w:type="spellStart"/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MoCA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Basic </w:t>
            </w:r>
            <w:proofErr w:type="spellStart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model</w:t>
            </w:r>
            <w:r>
              <w:rPr>
                <w:rFonts w:eastAsia="Times New Roman" w:cs="Arial"/>
                <w:i/>
                <w:color w:val="000000"/>
                <w:sz w:val="24"/>
                <w:szCs w:val="24"/>
                <w:vertAlign w:val="superscript"/>
              </w:rPr>
              <w:t>c</w:t>
            </w:r>
            <w:proofErr w:type="spellEnd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+ urate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Urate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-0.35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0.723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Urate x Time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1.44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E32D31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Basic </w:t>
            </w:r>
            <w:proofErr w:type="spellStart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model</w:t>
            </w:r>
            <w:r>
              <w:rPr>
                <w:rFonts w:eastAsia="Times New Roman" w:cs="Arial"/>
                <w:i/>
                <w:color w:val="000000"/>
                <w:sz w:val="24"/>
                <w:szCs w:val="24"/>
                <w:vertAlign w:val="superscript"/>
              </w:rPr>
              <w:t>d</w:t>
            </w:r>
            <w:proofErr w:type="spellEnd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+ homocysteine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proofErr w:type="spellStart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tHyc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0.19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0.849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proofErr w:type="spellStart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tHyc</w:t>
            </w:r>
            <w:proofErr w:type="spellEnd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x Time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2.73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**</w:t>
            </w:r>
          </w:p>
        </w:tc>
      </w:tr>
      <w:tr w:rsidR="006F2C9E" w:rsidRPr="00C47107" w:rsidTr="00D94827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Basic </w:t>
            </w:r>
            <w:proofErr w:type="spellStart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model</w:t>
            </w:r>
            <w:r>
              <w:rPr>
                <w:rFonts w:eastAsia="Times New Roman" w:cs="Arial"/>
                <w:i/>
                <w:color w:val="000000"/>
                <w:sz w:val="24"/>
                <w:szCs w:val="24"/>
                <w:vertAlign w:val="superscript"/>
              </w:rPr>
              <w:t>d</w:t>
            </w:r>
            <w:proofErr w:type="spellEnd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+ urate + homocysteine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Urate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-0.67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0.502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proofErr w:type="spellStart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tHyc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0.13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0.900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Urate x Time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1.02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D0387E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0.311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F2C9E" w:rsidRPr="00C47107" w:rsidTr="00D9482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C9E" w:rsidRPr="00C47107" w:rsidRDefault="006F2C9E" w:rsidP="00D94827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proofErr w:type="spellStart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>tHyc</w:t>
            </w:r>
            <w:proofErr w:type="spellEnd"/>
            <w:r w:rsidRPr="00C47107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x Time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2.51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1E31C8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1E31C8">
              <w:rPr>
                <w:rFonts w:ascii="Calibri" w:hAnsi="Calibri"/>
                <w:b/>
                <w:color w:val="000000"/>
              </w:rPr>
              <w:t>0.013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C9E" w:rsidRPr="00C47107" w:rsidRDefault="006F2C9E" w:rsidP="00D948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</w:tbl>
    <w:p w:rsidR="006F2C9E" w:rsidRPr="009C6812" w:rsidRDefault="006F2C9E" w:rsidP="006F2C9E">
      <w:pPr>
        <w:pStyle w:val="Caption"/>
        <w:rPr>
          <w:rFonts w:cs="Arial"/>
          <w:i w:val="0"/>
          <w:sz w:val="24"/>
          <w:szCs w:val="24"/>
        </w:rPr>
      </w:pPr>
      <w:r w:rsidRPr="009C6812">
        <w:rPr>
          <w:rFonts w:cs="Arial"/>
          <w:i w:val="0"/>
          <w:sz w:val="24"/>
          <w:szCs w:val="24"/>
        </w:rPr>
        <w:t>Motor severity determined by MDS-UPDRS III. Significant predictors highlighted in bold.</w:t>
      </w:r>
    </w:p>
    <w:p w:rsidR="006F2C9E" w:rsidRPr="009C6812" w:rsidRDefault="006F2C9E" w:rsidP="006F2C9E">
      <w:pPr>
        <w:pStyle w:val="Caption"/>
        <w:rPr>
          <w:i w:val="0"/>
          <w:sz w:val="24"/>
        </w:rPr>
      </w:pPr>
      <w:r w:rsidRPr="009C6812">
        <w:rPr>
          <w:i w:val="0"/>
          <w:sz w:val="24"/>
          <w:vertAlign w:val="superscript"/>
        </w:rPr>
        <w:t>a</w:t>
      </w:r>
      <w:r w:rsidRPr="009C6812">
        <w:rPr>
          <w:i w:val="0"/>
          <w:sz w:val="24"/>
        </w:rPr>
        <w:t xml:space="preserve"> Covariates included in model: age, sex, folate, B12, time, smoking status, type II diabetes, hypertension, ischemic heart disease, previous stoke or TIA, hypercholesterolemia, gout, folate x time and B12 x time</w:t>
      </w:r>
    </w:p>
    <w:p w:rsidR="006F2C9E" w:rsidRPr="009C6812" w:rsidRDefault="006F2C9E" w:rsidP="006F2C9E">
      <w:pPr>
        <w:pStyle w:val="Caption"/>
        <w:rPr>
          <w:rFonts w:cs="Arial"/>
          <w:i w:val="0"/>
          <w:sz w:val="24"/>
          <w:szCs w:val="24"/>
        </w:rPr>
      </w:pPr>
      <w:r w:rsidRPr="009C6812">
        <w:rPr>
          <w:rFonts w:cs="Arial"/>
          <w:i w:val="0"/>
          <w:sz w:val="24"/>
          <w:szCs w:val="24"/>
          <w:vertAlign w:val="superscript"/>
        </w:rPr>
        <w:t>b</w:t>
      </w:r>
      <w:r w:rsidRPr="009C6812">
        <w:rPr>
          <w:rFonts w:cs="Arial"/>
          <w:i w:val="0"/>
          <w:sz w:val="24"/>
          <w:szCs w:val="24"/>
        </w:rPr>
        <w:t xml:space="preserve"> Covariates included in model: age, sex, LEDD, folate, B12, time, </w:t>
      </w:r>
      <w:r w:rsidRPr="009C6812">
        <w:rPr>
          <w:i w:val="0"/>
          <w:sz w:val="24"/>
        </w:rPr>
        <w:t>smoking status, type II diabetes, hypertension, ischemic heart disease, previous stoke or TIA, hypercholesterolemia, gout,</w:t>
      </w:r>
      <w:r w:rsidRPr="009C6812">
        <w:rPr>
          <w:rFonts w:cs="Arial"/>
          <w:i w:val="0"/>
          <w:sz w:val="24"/>
          <w:szCs w:val="24"/>
        </w:rPr>
        <w:t xml:space="preserve"> LEDD x time, folate x time and B12 x time Covariates included in model: age, years of education, motor severity, time and motor severity x time</w:t>
      </w:r>
    </w:p>
    <w:p w:rsidR="006F2C9E" w:rsidRPr="009C6812" w:rsidRDefault="006F2C9E" w:rsidP="006F2C9E">
      <w:pPr>
        <w:pStyle w:val="Caption"/>
        <w:rPr>
          <w:rFonts w:cs="Arial"/>
          <w:i w:val="0"/>
          <w:sz w:val="24"/>
          <w:szCs w:val="24"/>
        </w:rPr>
      </w:pPr>
      <w:r w:rsidRPr="009C6812">
        <w:rPr>
          <w:rFonts w:cs="Arial"/>
          <w:i w:val="0"/>
          <w:sz w:val="24"/>
          <w:szCs w:val="24"/>
          <w:vertAlign w:val="superscript"/>
        </w:rPr>
        <w:t>c</w:t>
      </w:r>
      <w:r w:rsidRPr="009C6812">
        <w:rPr>
          <w:rFonts w:cs="Arial"/>
          <w:i w:val="0"/>
          <w:sz w:val="24"/>
          <w:szCs w:val="24"/>
        </w:rPr>
        <w:t xml:space="preserve"> Covariates included in model: sex, age, MDS-UPDRS III, folate, B12, time, </w:t>
      </w:r>
      <w:r w:rsidRPr="009C6812">
        <w:rPr>
          <w:i w:val="0"/>
          <w:sz w:val="24"/>
        </w:rPr>
        <w:t xml:space="preserve">smoking status, type II diabetes, hypertension, ischemic heart disease, previous stoke or TIA, hypercholesterolemia, gout, </w:t>
      </w:r>
      <w:r w:rsidRPr="009C6812">
        <w:rPr>
          <w:rFonts w:cs="Arial"/>
          <w:i w:val="0"/>
          <w:sz w:val="24"/>
          <w:szCs w:val="24"/>
        </w:rPr>
        <w:t>MDS-UPDRS III, folate x time and B12 x time</w:t>
      </w:r>
    </w:p>
    <w:p w:rsidR="006F2C9E" w:rsidRPr="009C6812" w:rsidRDefault="006F2C9E" w:rsidP="006F2C9E">
      <w:pPr>
        <w:pStyle w:val="Caption"/>
        <w:rPr>
          <w:rFonts w:cs="Arial"/>
          <w:i w:val="0"/>
          <w:sz w:val="24"/>
          <w:szCs w:val="24"/>
        </w:rPr>
      </w:pPr>
      <w:r w:rsidRPr="009C6812">
        <w:rPr>
          <w:rFonts w:cs="Arial"/>
          <w:i w:val="0"/>
          <w:sz w:val="24"/>
          <w:szCs w:val="24"/>
          <w:vertAlign w:val="superscript"/>
        </w:rPr>
        <w:t>d</w:t>
      </w:r>
      <w:r w:rsidRPr="009C6812">
        <w:rPr>
          <w:rFonts w:cs="Arial"/>
          <w:i w:val="0"/>
          <w:sz w:val="24"/>
          <w:szCs w:val="24"/>
        </w:rPr>
        <w:t xml:space="preserve"> sex, age, LEDD, folate, B12, </w:t>
      </w:r>
      <w:r w:rsidRPr="009C6812">
        <w:rPr>
          <w:i w:val="0"/>
          <w:sz w:val="24"/>
        </w:rPr>
        <w:t>smoking status, type II diabetes, hypertension, ischemic heart disease, previous stoke or TIA, hypercholesterolemia, gout,</w:t>
      </w:r>
      <w:r w:rsidRPr="009C6812">
        <w:rPr>
          <w:rFonts w:cs="Arial"/>
          <w:i w:val="0"/>
          <w:sz w:val="24"/>
          <w:szCs w:val="24"/>
        </w:rPr>
        <w:t xml:space="preserve"> time, LEDD x time, folate x time and B12 x time </w:t>
      </w:r>
    </w:p>
    <w:p w:rsidR="006F2C9E" w:rsidRPr="009C6812" w:rsidRDefault="006F2C9E" w:rsidP="006F2C9E">
      <w:pPr>
        <w:pStyle w:val="Caption"/>
        <w:rPr>
          <w:rFonts w:cs="Arial"/>
          <w:i w:val="0"/>
          <w:sz w:val="24"/>
          <w:szCs w:val="24"/>
        </w:rPr>
      </w:pPr>
      <w:r w:rsidRPr="009C6812">
        <w:rPr>
          <w:rFonts w:cs="Arial"/>
          <w:i w:val="0"/>
          <w:sz w:val="24"/>
          <w:szCs w:val="24"/>
        </w:rPr>
        <w:lastRenderedPageBreak/>
        <w:t>MDS-UPDRS III</w:t>
      </w:r>
      <w:r>
        <w:rPr>
          <w:rFonts w:cs="Arial"/>
          <w:i w:val="0"/>
          <w:sz w:val="24"/>
          <w:szCs w:val="24"/>
        </w:rPr>
        <w:t xml:space="preserve">, </w:t>
      </w:r>
      <w:r w:rsidRPr="009C6812">
        <w:rPr>
          <w:rFonts w:cs="Arial"/>
          <w:i w:val="0"/>
          <w:sz w:val="24"/>
          <w:szCs w:val="24"/>
        </w:rPr>
        <w:t xml:space="preserve">Movement Disorder Society Unified Parkinson’s Disease Rating Scale Part III; </w:t>
      </w:r>
      <w:proofErr w:type="spellStart"/>
      <w:r w:rsidRPr="009C6812">
        <w:rPr>
          <w:rFonts w:cs="Arial"/>
          <w:i w:val="0"/>
          <w:sz w:val="24"/>
          <w:szCs w:val="24"/>
        </w:rPr>
        <w:t>MoCA</w:t>
      </w:r>
      <w:proofErr w:type="spellEnd"/>
      <w:r>
        <w:rPr>
          <w:rFonts w:cs="Arial"/>
          <w:i w:val="0"/>
          <w:sz w:val="24"/>
          <w:szCs w:val="24"/>
        </w:rPr>
        <w:t xml:space="preserve">, </w:t>
      </w:r>
      <w:r w:rsidRPr="009C6812">
        <w:rPr>
          <w:rFonts w:cs="Arial"/>
          <w:i w:val="0"/>
          <w:sz w:val="24"/>
          <w:szCs w:val="24"/>
        </w:rPr>
        <w:t>Montreal Cognitive Assessment; LEDD</w:t>
      </w:r>
      <w:r>
        <w:rPr>
          <w:rFonts w:cs="Arial"/>
          <w:i w:val="0"/>
          <w:sz w:val="24"/>
          <w:szCs w:val="24"/>
        </w:rPr>
        <w:t xml:space="preserve">, </w:t>
      </w:r>
      <w:r w:rsidRPr="009C6812">
        <w:rPr>
          <w:rFonts w:cs="Arial"/>
          <w:i w:val="0"/>
          <w:sz w:val="24"/>
          <w:szCs w:val="24"/>
        </w:rPr>
        <w:t xml:space="preserve">Levodopa equivalent daily dose; </w:t>
      </w:r>
      <w:proofErr w:type="spellStart"/>
      <w:r w:rsidRPr="009C6812">
        <w:rPr>
          <w:rFonts w:cs="Arial"/>
          <w:i w:val="0"/>
          <w:sz w:val="24"/>
          <w:szCs w:val="24"/>
        </w:rPr>
        <w:t>tHyc</w:t>
      </w:r>
      <w:proofErr w:type="spellEnd"/>
      <w:r>
        <w:rPr>
          <w:rFonts w:cs="Arial"/>
          <w:i w:val="0"/>
          <w:sz w:val="24"/>
          <w:szCs w:val="24"/>
        </w:rPr>
        <w:t xml:space="preserve">, </w:t>
      </w:r>
      <w:r w:rsidRPr="009C6812">
        <w:rPr>
          <w:rFonts w:cs="Arial"/>
          <w:i w:val="0"/>
          <w:sz w:val="24"/>
          <w:szCs w:val="24"/>
        </w:rPr>
        <w:t>serum homocysteine; TIA</w:t>
      </w:r>
      <w:r>
        <w:rPr>
          <w:rFonts w:cs="Arial"/>
          <w:i w:val="0"/>
          <w:sz w:val="24"/>
          <w:szCs w:val="24"/>
        </w:rPr>
        <w:t xml:space="preserve">, </w:t>
      </w:r>
      <w:r w:rsidRPr="009C6812">
        <w:rPr>
          <w:i w:val="0"/>
        </w:rPr>
        <w:t>transient ischemic attack</w:t>
      </w:r>
      <w:r w:rsidRPr="009C6812">
        <w:rPr>
          <w:rFonts w:cs="Arial"/>
          <w:i w:val="0"/>
          <w:sz w:val="24"/>
          <w:szCs w:val="24"/>
        </w:rPr>
        <w:t>.</w:t>
      </w:r>
    </w:p>
    <w:p w:rsidR="006F2C9E" w:rsidRPr="009C6812" w:rsidRDefault="006F2C9E" w:rsidP="006F2C9E">
      <w:pPr>
        <w:pStyle w:val="EndNoteBibliography"/>
        <w:rPr>
          <w:rFonts w:ascii="Arial" w:hAnsi="Arial" w:cs="Arial"/>
          <w:sz w:val="24"/>
          <w:szCs w:val="24"/>
        </w:rPr>
      </w:pPr>
    </w:p>
    <w:p w:rsidR="004C4402" w:rsidRDefault="004C4402">
      <w:bookmarkStart w:id="0" w:name="_GoBack"/>
      <w:bookmarkEnd w:id="0"/>
    </w:p>
    <w:sectPr w:rsidR="004C4402" w:rsidSect="00C05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299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6DB5" w:rsidRDefault="006F2C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6DB5" w:rsidRDefault="006F2C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9E"/>
    <w:rsid w:val="002653AB"/>
    <w:rsid w:val="004C4402"/>
    <w:rsid w:val="006F2C9E"/>
    <w:rsid w:val="009B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2C9E"/>
    <w:pPr>
      <w:tabs>
        <w:tab w:val="center" w:pos="4680"/>
        <w:tab w:val="right" w:pos="9360"/>
      </w:tabs>
      <w:spacing w:before="240" w:after="0" w:line="240" w:lineRule="auto"/>
    </w:pPr>
    <w:rPr>
      <w:rFonts w:ascii="Arial" w:eastAsiaTheme="minorEastAsia" w:hAnsi="Arial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F2C9E"/>
    <w:rPr>
      <w:rFonts w:ascii="Arial" w:eastAsiaTheme="minorEastAsia" w:hAnsi="Arial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6F2C9E"/>
    <w:pPr>
      <w:spacing w:before="240" w:after="240" w:line="240" w:lineRule="auto"/>
      <w:contextualSpacing/>
    </w:pPr>
    <w:rPr>
      <w:rFonts w:ascii="Arial" w:eastAsiaTheme="minorEastAsia" w:hAnsi="Arial"/>
      <w:bCs/>
      <w:i/>
      <w:szCs w:val="18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6F2C9E"/>
    <w:pPr>
      <w:spacing w:before="240" w:after="240" w:line="240" w:lineRule="auto"/>
      <w:jc w:val="both"/>
    </w:pPr>
    <w:rPr>
      <w:rFonts w:ascii="Calibri" w:eastAsiaTheme="minorEastAsia" w:hAnsi="Calibri"/>
      <w:noProof/>
      <w:lang w:val="en-GB"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6F2C9E"/>
    <w:rPr>
      <w:rFonts w:ascii="Calibri" w:eastAsiaTheme="minorEastAsia" w:hAnsi="Calibri"/>
      <w:noProof/>
      <w:lang w:val="en-GB" w:eastAsia="en-GB"/>
    </w:rPr>
  </w:style>
  <w:style w:type="paragraph" w:customStyle="1" w:styleId="tablebody">
    <w:name w:val="table body"/>
    <w:basedOn w:val="Normal"/>
    <w:qFormat/>
    <w:rsid w:val="006F2C9E"/>
    <w:pPr>
      <w:spacing w:after="0" w:line="240" w:lineRule="auto"/>
      <w:jc w:val="center"/>
    </w:pPr>
    <w:rPr>
      <w:rFonts w:ascii="Arial" w:eastAsiaTheme="minorEastAsia" w:hAnsi="Arial" w:cs="Arial"/>
      <w:szCs w:val="24"/>
      <w:lang w:val="en-GB" w:eastAsia="en-GB"/>
    </w:rPr>
  </w:style>
  <w:style w:type="paragraph" w:customStyle="1" w:styleId="tableheading">
    <w:name w:val="table heading"/>
    <w:basedOn w:val="tablebody"/>
    <w:qFormat/>
    <w:rsid w:val="006F2C9E"/>
    <w:pPr>
      <w:spacing w:before="60" w:after="6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2C9E"/>
    <w:pPr>
      <w:tabs>
        <w:tab w:val="center" w:pos="4680"/>
        <w:tab w:val="right" w:pos="9360"/>
      </w:tabs>
      <w:spacing w:before="240" w:after="0" w:line="240" w:lineRule="auto"/>
    </w:pPr>
    <w:rPr>
      <w:rFonts w:ascii="Arial" w:eastAsiaTheme="minorEastAsia" w:hAnsi="Arial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F2C9E"/>
    <w:rPr>
      <w:rFonts w:ascii="Arial" w:eastAsiaTheme="minorEastAsia" w:hAnsi="Arial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6F2C9E"/>
    <w:pPr>
      <w:spacing w:before="240" w:after="240" w:line="240" w:lineRule="auto"/>
      <w:contextualSpacing/>
    </w:pPr>
    <w:rPr>
      <w:rFonts w:ascii="Arial" w:eastAsiaTheme="minorEastAsia" w:hAnsi="Arial"/>
      <w:bCs/>
      <w:i/>
      <w:szCs w:val="18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6F2C9E"/>
    <w:pPr>
      <w:spacing w:before="240" w:after="240" w:line="240" w:lineRule="auto"/>
      <w:jc w:val="both"/>
    </w:pPr>
    <w:rPr>
      <w:rFonts w:ascii="Calibri" w:eastAsiaTheme="minorEastAsia" w:hAnsi="Calibri"/>
      <w:noProof/>
      <w:lang w:val="en-GB"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6F2C9E"/>
    <w:rPr>
      <w:rFonts w:ascii="Calibri" w:eastAsiaTheme="minorEastAsia" w:hAnsi="Calibri"/>
      <w:noProof/>
      <w:lang w:val="en-GB" w:eastAsia="en-GB"/>
    </w:rPr>
  </w:style>
  <w:style w:type="paragraph" w:customStyle="1" w:styleId="tablebody">
    <w:name w:val="table body"/>
    <w:basedOn w:val="Normal"/>
    <w:qFormat/>
    <w:rsid w:val="006F2C9E"/>
    <w:pPr>
      <w:spacing w:after="0" w:line="240" w:lineRule="auto"/>
      <w:jc w:val="center"/>
    </w:pPr>
    <w:rPr>
      <w:rFonts w:ascii="Arial" w:eastAsiaTheme="minorEastAsia" w:hAnsi="Arial" w:cs="Arial"/>
      <w:szCs w:val="24"/>
      <w:lang w:val="en-GB" w:eastAsia="en-GB"/>
    </w:rPr>
  </w:style>
  <w:style w:type="paragraph" w:customStyle="1" w:styleId="tableheading">
    <w:name w:val="table heading"/>
    <w:basedOn w:val="tablebody"/>
    <w:qFormat/>
    <w:rsid w:val="006F2C9E"/>
    <w:pPr>
      <w:spacing w:before="60" w:after="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2019-03-20T05:12:00Z</dcterms:created>
  <dcterms:modified xsi:type="dcterms:W3CDTF">2019-03-20T05:13:00Z</dcterms:modified>
</cp:coreProperties>
</file>