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0C4B" w14:textId="7E717CD8" w:rsidR="00A322E7" w:rsidRPr="003A5622" w:rsidRDefault="00246310" w:rsidP="003A5622">
      <w:pPr>
        <w:spacing w:after="0" w:line="276" w:lineRule="auto"/>
        <w:jc w:val="both"/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US"/>
        </w:rPr>
      </w:pPr>
      <w:r w:rsidRPr="00246310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 xml:space="preserve">Supplementary Table </w:t>
      </w:r>
      <w:r w:rsidR="003A5622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  <w:lang w:val="en-US"/>
        </w:rPr>
        <w:t>2</w:t>
      </w:r>
    </w:p>
    <w:p w14:paraId="740AFEC3" w14:textId="77777777" w:rsidR="003A5622" w:rsidRPr="001B69FC" w:rsidRDefault="003A5622" w:rsidP="003A5622">
      <w:pPr>
        <w:spacing w:after="0" w:line="276" w:lineRule="auto"/>
        <w:jc w:val="both"/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US"/>
        </w:rPr>
      </w:pPr>
      <w:r w:rsidRPr="001B69FC"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US"/>
        </w:rPr>
        <w:t xml:space="preserve">Ages at death in the DM2-cohort (n=26) compared to their sex- and age-matched life expectancies based respectively on CLE (from birth to death) and PLE (from symptom onset to death) methods. Ages at death of the DM2 patients with exclusion of the </w:t>
      </w:r>
      <w:proofErr w:type="gramStart"/>
      <w:r w:rsidRPr="001B69FC"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US"/>
        </w:rPr>
        <w:t>patients</w:t>
      </w:r>
      <w:proofErr w:type="gramEnd"/>
      <w:r w:rsidRPr="001B69FC"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US"/>
        </w:rPr>
        <w:t xml:space="preserve"> received euthanasia is shown in bold (n=23).</w:t>
      </w:r>
    </w:p>
    <w:p w14:paraId="64DC68A3" w14:textId="77777777" w:rsidR="003A5622" w:rsidRDefault="003A5622" w:rsidP="003A5622">
      <w:pPr>
        <w:spacing w:after="0" w:line="276" w:lineRule="auto"/>
        <w:jc w:val="both"/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US"/>
        </w:rPr>
      </w:pPr>
      <w:r w:rsidRPr="001B69FC"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US"/>
        </w:rPr>
        <w:t xml:space="preserve">SD: standard deviation, IQR: interquartile range. </w:t>
      </w:r>
    </w:p>
    <w:p w14:paraId="489B4D0F" w14:textId="77777777" w:rsidR="003A5622" w:rsidRPr="001B69FC" w:rsidRDefault="003A5622" w:rsidP="003A5622">
      <w:pPr>
        <w:spacing w:after="0" w:line="276" w:lineRule="auto"/>
        <w:jc w:val="both"/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US"/>
        </w:rPr>
      </w:pPr>
    </w:p>
    <w:tbl>
      <w:tblPr>
        <w:tblW w:w="10348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A0" w:firstRow="1" w:lastRow="0" w:firstColumn="1" w:lastColumn="0" w:noHBand="1" w:noVBand="1"/>
      </w:tblPr>
      <w:tblGrid>
        <w:gridCol w:w="993"/>
        <w:gridCol w:w="1243"/>
        <w:gridCol w:w="878"/>
        <w:gridCol w:w="878"/>
        <w:gridCol w:w="440"/>
        <w:gridCol w:w="686"/>
        <w:gridCol w:w="877"/>
        <w:gridCol w:w="878"/>
        <w:gridCol w:w="406"/>
        <w:gridCol w:w="690"/>
        <w:gridCol w:w="878"/>
        <w:gridCol w:w="1501"/>
      </w:tblGrid>
      <w:tr w:rsidR="003A5622" w:rsidRPr="001B69FC" w14:paraId="323A88D2" w14:textId="77777777" w:rsidTr="00F03936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72155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6BE35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Age at death DM2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BA256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FA817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Cohort Life Expectancy (CLE)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05519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D5249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Period Life Expectancy (PLE)</w:t>
            </w:r>
          </w:p>
        </w:tc>
      </w:tr>
      <w:tr w:rsidR="003A5622" w:rsidRPr="001B69FC" w14:paraId="07C4F14B" w14:textId="77777777" w:rsidTr="00F03936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FB303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341F3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Range</w:t>
            </w:r>
          </w:p>
          <w:p w14:paraId="3125C22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  <w:t>(years)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6E2F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Mean</w:t>
            </w:r>
          </w:p>
          <w:p w14:paraId="078E9E97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  <w:t>(years, SD)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AD73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Median</w:t>
            </w:r>
          </w:p>
          <w:p w14:paraId="4F18B6CB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  <w:t>(years, IQR)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9756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A6463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Range</w:t>
            </w:r>
          </w:p>
          <w:p w14:paraId="5739EDA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  <w:t>(years)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E04C8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Median</w:t>
            </w:r>
          </w:p>
          <w:p w14:paraId="05EA4C45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  <w:t>(years, IQR)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C9DDB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P value</w:t>
            </w:r>
          </w:p>
          <w:p w14:paraId="2FC0832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  <w:t>(DM2 – CLE)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4F3B3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5BCC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Range</w:t>
            </w:r>
          </w:p>
          <w:p w14:paraId="53189C6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  <w:t>(years)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3E68A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Median</w:t>
            </w:r>
          </w:p>
          <w:p w14:paraId="4C2029E7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  <w:t>(years, IQR)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60CF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color w:val="000000" w:themeColor="text1"/>
                <w:sz w:val="16"/>
                <w:szCs w:val="16"/>
                <w:lang w:val="en-US"/>
              </w:rPr>
              <w:t>P value</w:t>
            </w:r>
          </w:p>
          <w:p w14:paraId="2232892B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Cs/>
                <w:color w:val="000000" w:themeColor="text1"/>
                <w:sz w:val="16"/>
                <w:szCs w:val="16"/>
                <w:lang w:val="en-US"/>
              </w:rPr>
              <w:t>(DM2 – PLE)</w:t>
            </w:r>
          </w:p>
        </w:tc>
      </w:tr>
      <w:tr w:rsidR="003A5622" w:rsidRPr="001B69FC" w14:paraId="2323FABD" w14:textId="77777777" w:rsidTr="00F03936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98657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Total</w:t>
            </w: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</w: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n=26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38501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39 – 83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2698E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69.4 ±10.0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83F88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70.9 ±12.6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A212B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074384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71.8 – 82.4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5F112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78.1 ±4.1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E42BE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&lt;.001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3289A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94A8F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73.8 – 86.6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DF34E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82.1 ±5.9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1BDE18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&lt;.001</w:t>
            </w:r>
          </w:p>
        </w:tc>
      </w:tr>
      <w:tr w:rsidR="003A5622" w:rsidRPr="001B69FC" w14:paraId="0C75DC25" w14:textId="77777777" w:rsidTr="00F03936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6EB18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N=23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5C7AB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39-83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9BDB2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70.3 ±9.8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F0F95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72.6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12.2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5B0A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5E0B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B7ABD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78.0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6.2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09AD2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0.003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05549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4BA0B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20BF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82.1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4.4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F16AD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&lt;.001</w:t>
            </w:r>
          </w:p>
        </w:tc>
      </w:tr>
      <w:tr w:rsidR="003A5622" w:rsidRPr="001B69FC" w14:paraId="2DD9FB3A" w14:textId="77777777" w:rsidTr="00F03936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B1D22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Men</w:t>
            </w: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</w: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n=9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962D8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39 – 81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1A28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65.8 ±13.1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404E2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69.2 ±14,1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C19A8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12DC6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71.8 – 82.3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60CC7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72.6 ±5.8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4EDE9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0.122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7BF4A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243D7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73.8 – 83.5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14D4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76.7 ±2.4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DF2D4F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0.024</w:t>
            </w:r>
          </w:p>
        </w:tc>
      </w:tr>
      <w:tr w:rsidR="003A5622" w:rsidRPr="001B69FC" w14:paraId="60ADA1D9" w14:textId="77777777" w:rsidTr="00F03936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7BD82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N=7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DEB1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39-81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1649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68.2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13.9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BEEE2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72.6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8.9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836A1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4B938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2879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72.5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0.3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78093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0.749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C3209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586AA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1157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76.8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03212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0.085</w:t>
            </w:r>
          </w:p>
        </w:tc>
      </w:tr>
      <w:tr w:rsidR="003A5622" w:rsidRPr="001B69FC" w14:paraId="2474BF14" w14:textId="77777777" w:rsidTr="00F03936">
        <w:trPr>
          <w:trHeight w:val="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6DC5A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Women</w:t>
            </w: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br/>
            </w: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n=17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005FD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57 – 83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2BBF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71.4 ±7.6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0C62B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73.9 ±11.7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F539D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76867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76.7 – 82.4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D245D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78.2 ±3.3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8E1AB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&lt;.001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64DD1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40598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78.0 – 86.6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77AA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82.4 ±1.8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BA0C4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color w:val="000000" w:themeColor="text1"/>
                <w:sz w:val="16"/>
                <w:szCs w:val="16"/>
                <w:lang w:val="en-US"/>
              </w:rPr>
              <w:t>&lt;.001</w:t>
            </w:r>
          </w:p>
        </w:tc>
      </w:tr>
      <w:tr w:rsidR="003A5622" w:rsidRPr="001B69FC" w14:paraId="459AA06F" w14:textId="77777777" w:rsidTr="00F03936">
        <w:trPr>
          <w:trHeight w:val="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33536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N=16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D3562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57-83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59F23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71.2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7.8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6AD79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71.8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12.1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9D7CC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8799D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E40F8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78.2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3.3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F4820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&lt;.001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241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0808E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0925D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proofErr w:type="gramStart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82.4  ±</w:t>
            </w:r>
            <w:proofErr w:type="gramEnd"/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1.5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DE44" w14:textId="77777777" w:rsidR="003A5622" w:rsidRPr="001B69FC" w:rsidRDefault="003A5622" w:rsidP="00F03936">
            <w:pPr>
              <w:spacing w:after="0" w:line="276" w:lineRule="auto"/>
              <w:jc w:val="both"/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1B69FC">
              <w:rPr>
                <w:rFonts w:ascii="Arial" w:eastAsia="Aptos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&lt;.001</w:t>
            </w:r>
          </w:p>
        </w:tc>
      </w:tr>
    </w:tbl>
    <w:p w14:paraId="580991F9" w14:textId="77777777" w:rsidR="003A5622" w:rsidRDefault="003A5622" w:rsidP="003A5622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</w:pPr>
    </w:p>
    <w:p w14:paraId="43461E73" w14:textId="77777777" w:rsidR="003A5622" w:rsidRDefault="003A5622"/>
    <w:sectPr w:rsidR="003A5622" w:rsidSect="00E35F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10"/>
    <w:rsid w:val="00000EDE"/>
    <w:rsid w:val="00014C48"/>
    <w:rsid w:val="00036920"/>
    <w:rsid w:val="00047AAF"/>
    <w:rsid w:val="000559CF"/>
    <w:rsid w:val="00073ECF"/>
    <w:rsid w:val="00085C2D"/>
    <w:rsid w:val="00101F27"/>
    <w:rsid w:val="00102E98"/>
    <w:rsid w:val="00104BA0"/>
    <w:rsid w:val="00120B7A"/>
    <w:rsid w:val="001213EF"/>
    <w:rsid w:val="00141527"/>
    <w:rsid w:val="001451D6"/>
    <w:rsid w:val="00155D28"/>
    <w:rsid w:val="0017054D"/>
    <w:rsid w:val="00173B0A"/>
    <w:rsid w:val="001A6CCF"/>
    <w:rsid w:val="001E36E8"/>
    <w:rsid w:val="001F7BDA"/>
    <w:rsid w:val="002079EE"/>
    <w:rsid w:val="002121DF"/>
    <w:rsid w:val="002238B0"/>
    <w:rsid w:val="002325A4"/>
    <w:rsid w:val="00246310"/>
    <w:rsid w:val="00257570"/>
    <w:rsid w:val="00265ACF"/>
    <w:rsid w:val="002717FD"/>
    <w:rsid w:val="002854AC"/>
    <w:rsid w:val="00291162"/>
    <w:rsid w:val="002A1B42"/>
    <w:rsid w:val="002A539D"/>
    <w:rsid w:val="002B3259"/>
    <w:rsid w:val="002C1ACF"/>
    <w:rsid w:val="002D0D77"/>
    <w:rsid w:val="002D2ED7"/>
    <w:rsid w:val="002E4013"/>
    <w:rsid w:val="002E6974"/>
    <w:rsid w:val="00312684"/>
    <w:rsid w:val="00330622"/>
    <w:rsid w:val="00337D26"/>
    <w:rsid w:val="00343FE9"/>
    <w:rsid w:val="00361952"/>
    <w:rsid w:val="00362F80"/>
    <w:rsid w:val="003730AA"/>
    <w:rsid w:val="003A5622"/>
    <w:rsid w:val="003C00B5"/>
    <w:rsid w:val="003C4089"/>
    <w:rsid w:val="003D3A03"/>
    <w:rsid w:val="003D5601"/>
    <w:rsid w:val="003E14DF"/>
    <w:rsid w:val="003E2F2A"/>
    <w:rsid w:val="003F1151"/>
    <w:rsid w:val="003F4149"/>
    <w:rsid w:val="0041003C"/>
    <w:rsid w:val="00411F35"/>
    <w:rsid w:val="00412C05"/>
    <w:rsid w:val="004178D7"/>
    <w:rsid w:val="00423B90"/>
    <w:rsid w:val="00480532"/>
    <w:rsid w:val="00483800"/>
    <w:rsid w:val="004B39AB"/>
    <w:rsid w:val="004C2C11"/>
    <w:rsid w:val="004C6C4B"/>
    <w:rsid w:val="004D6C25"/>
    <w:rsid w:val="004E301A"/>
    <w:rsid w:val="00527795"/>
    <w:rsid w:val="00545363"/>
    <w:rsid w:val="005545AD"/>
    <w:rsid w:val="005625E3"/>
    <w:rsid w:val="005679B0"/>
    <w:rsid w:val="005A304F"/>
    <w:rsid w:val="005B15C8"/>
    <w:rsid w:val="005C0961"/>
    <w:rsid w:val="005D31C1"/>
    <w:rsid w:val="005D4ED8"/>
    <w:rsid w:val="005E2094"/>
    <w:rsid w:val="00600AC5"/>
    <w:rsid w:val="00600F43"/>
    <w:rsid w:val="006065A2"/>
    <w:rsid w:val="00620D0A"/>
    <w:rsid w:val="00625A55"/>
    <w:rsid w:val="00626247"/>
    <w:rsid w:val="00631A83"/>
    <w:rsid w:val="006327C7"/>
    <w:rsid w:val="006403AC"/>
    <w:rsid w:val="006566DA"/>
    <w:rsid w:val="0066326A"/>
    <w:rsid w:val="00676191"/>
    <w:rsid w:val="00681C6F"/>
    <w:rsid w:val="00686B36"/>
    <w:rsid w:val="00690BE4"/>
    <w:rsid w:val="006C6731"/>
    <w:rsid w:val="006D0321"/>
    <w:rsid w:val="006E1AE4"/>
    <w:rsid w:val="007024E2"/>
    <w:rsid w:val="00714142"/>
    <w:rsid w:val="007151D1"/>
    <w:rsid w:val="00715B67"/>
    <w:rsid w:val="00732989"/>
    <w:rsid w:val="00733394"/>
    <w:rsid w:val="00743E40"/>
    <w:rsid w:val="00744CA5"/>
    <w:rsid w:val="007502CB"/>
    <w:rsid w:val="007542B6"/>
    <w:rsid w:val="007622C6"/>
    <w:rsid w:val="0078663D"/>
    <w:rsid w:val="007A4E0D"/>
    <w:rsid w:val="007B5113"/>
    <w:rsid w:val="007D3A1E"/>
    <w:rsid w:val="0081413C"/>
    <w:rsid w:val="008159B2"/>
    <w:rsid w:val="00821F35"/>
    <w:rsid w:val="008242DB"/>
    <w:rsid w:val="0084647A"/>
    <w:rsid w:val="008525C0"/>
    <w:rsid w:val="00852FB6"/>
    <w:rsid w:val="008757FB"/>
    <w:rsid w:val="008818E7"/>
    <w:rsid w:val="00887AAD"/>
    <w:rsid w:val="008A7EC6"/>
    <w:rsid w:val="008B1010"/>
    <w:rsid w:val="008C1044"/>
    <w:rsid w:val="008D5F5E"/>
    <w:rsid w:val="008D6239"/>
    <w:rsid w:val="008E363B"/>
    <w:rsid w:val="008F11B2"/>
    <w:rsid w:val="008F3377"/>
    <w:rsid w:val="00900220"/>
    <w:rsid w:val="00903BCE"/>
    <w:rsid w:val="00932B5B"/>
    <w:rsid w:val="00935F0E"/>
    <w:rsid w:val="009431F9"/>
    <w:rsid w:val="00944538"/>
    <w:rsid w:val="00944BE3"/>
    <w:rsid w:val="00950316"/>
    <w:rsid w:val="00965A8E"/>
    <w:rsid w:val="00970806"/>
    <w:rsid w:val="00975CEA"/>
    <w:rsid w:val="009951F8"/>
    <w:rsid w:val="009A7BA1"/>
    <w:rsid w:val="009C6536"/>
    <w:rsid w:val="009D2C71"/>
    <w:rsid w:val="009D4173"/>
    <w:rsid w:val="009E157B"/>
    <w:rsid w:val="009E5459"/>
    <w:rsid w:val="009F3EC0"/>
    <w:rsid w:val="009F4579"/>
    <w:rsid w:val="00A13EE7"/>
    <w:rsid w:val="00A322E7"/>
    <w:rsid w:val="00A34C7B"/>
    <w:rsid w:val="00A426DA"/>
    <w:rsid w:val="00A53EF2"/>
    <w:rsid w:val="00A559A4"/>
    <w:rsid w:val="00A60F69"/>
    <w:rsid w:val="00A66139"/>
    <w:rsid w:val="00A71A12"/>
    <w:rsid w:val="00A854CD"/>
    <w:rsid w:val="00A97127"/>
    <w:rsid w:val="00AD1A81"/>
    <w:rsid w:val="00AD6897"/>
    <w:rsid w:val="00AE1F24"/>
    <w:rsid w:val="00AE6B4B"/>
    <w:rsid w:val="00AE6BB5"/>
    <w:rsid w:val="00B24521"/>
    <w:rsid w:val="00B40981"/>
    <w:rsid w:val="00B43E2B"/>
    <w:rsid w:val="00B541D3"/>
    <w:rsid w:val="00B576E5"/>
    <w:rsid w:val="00B658E6"/>
    <w:rsid w:val="00B86E97"/>
    <w:rsid w:val="00B94779"/>
    <w:rsid w:val="00B96463"/>
    <w:rsid w:val="00BE0BF8"/>
    <w:rsid w:val="00BE3E1F"/>
    <w:rsid w:val="00BF359E"/>
    <w:rsid w:val="00BF36D8"/>
    <w:rsid w:val="00C03C71"/>
    <w:rsid w:val="00C22E2C"/>
    <w:rsid w:val="00C27660"/>
    <w:rsid w:val="00C27847"/>
    <w:rsid w:val="00C32359"/>
    <w:rsid w:val="00C324FF"/>
    <w:rsid w:val="00C403E4"/>
    <w:rsid w:val="00C47460"/>
    <w:rsid w:val="00C65699"/>
    <w:rsid w:val="00C95E9C"/>
    <w:rsid w:val="00CB4981"/>
    <w:rsid w:val="00CB6FBA"/>
    <w:rsid w:val="00CC5341"/>
    <w:rsid w:val="00CD6DFF"/>
    <w:rsid w:val="00D1402F"/>
    <w:rsid w:val="00D167DC"/>
    <w:rsid w:val="00D20970"/>
    <w:rsid w:val="00D34FD7"/>
    <w:rsid w:val="00D372BA"/>
    <w:rsid w:val="00D44145"/>
    <w:rsid w:val="00D56BDA"/>
    <w:rsid w:val="00D649E6"/>
    <w:rsid w:val="00DA0D33"/>
    <w:rsid w:val="00DA3FAE"/>
    <w:rsid w:val="00DB0618"/>
    <w:rsid w:val="00DB2D21"/>
    <w:rsid w:val="00DB7A4F"/>
    <w:rsid w:val="00DD5BAF"/>
    <w:rsid w:val="00DD5E3E"/>
    <w:rsid w:val="00DE28C3"/>
    <w:rsid w:val="00DE692E"/>
    <w:rsid w:val="00DF67DF"/>
    <w:rsid w:val="00E06AAD"/>
    <w:rsid w:val="00E155E1"/>
    <w:rsid w:val="00E15BBF"/>
    <w:rsid w:val="00E2743A"/>
    <w:rsid w:val="00E27780"/>
    <w:rsid w:val="00E35F38"/>
    <w:rsid w:val="00E3708D"/>
    <w:rsid w:val="00E41098"/>
    <w:rsid w:val="00E472B7"/>
    <w:rsid w:val="00E67F0D"/>
    <w:rsid w:val="00E94840"/>
    <w:rsid w:val="00E948D6"/>
    <w:rsid w:val="00EA7405"/>
    <w:rsid w:val="00EB0B2A"/>
    <w:rsid w:val="00EB7A8D"/>
    <w:rsid w:val="00EC2881"/>
    <w:rsid w:val="00EC3A77"/>
    <w:rsid w:val="00EC6A60"/>
    <w:rsid w:val="00ED188F"/>
    <w:rsid w:val="00ED2087"/>
    <w:rsid w:val="00EE6027"/>
    <w:rsid w:val="00EF0119"/>
    <w:rsid w:val="00EF0ACA"/>
    <w:rsid w:val="00F00B4B"/>
    <w:rsid w:val="00F04F82"/>
    <w:rsid w:val="00F37BBA"/>
    <w:rsid w:val="00F46F15"/>
    <w:rsid w:val="00F56B8E"/>
    <w:rsid w:val="00F8683F"/>
    <w:rsid w:val="00F87042"/>
    <w:rsid w:val="00F909E8"/>
    <w:rsid w:val="00FA32EA"/>
    <w:rsid w:val="00FA7C2A"/>
    <w:rsid w:val="00F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6A3EE"/>
  <w14:defaultImageDpi w14:val="32767"/>
  <w15:chartTrackingRefBased/>
  <w15:docId w15:val="{B5061D84-DEAC-BD4F-B88C-3C83A371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46310"/>
    <w:pPr>
      <w:spacing w:after="160" w:line="279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Damen</dc:creator>
  <cp:keywords/>
  <dc:description/>
  <cp:lastModifiedBy>Manon Damen</cp:lastModifiedBy>
  <cp:revision>2</cp:revision>
  <dcterms:created xsi:type="dcterms:W3CDTF">2024-07-13T10:38:00Z</dcterms:created>
  <dcterms:modified xsi:type="dcterms:W3CDTF">2024-07-13T10:38:00Z</dcterms:modified>
</cp:coreProperties>
</file>