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B96A" w14:textId="378956B1" w:rsidR="00F14CF6" w:rsidRDefault="00F14CF6" w:rsidP="00F14CF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INFORMATION</w:t>
      </w:r>
    </w:p>
    <w:p w14:paraId="069DBA05" w14:textId="1BBE0DFC" w:rsidR="00F14CF6" w:rsidRPr="00F14CF6" w:rsidRDefault="00F14CF6" w:rsidP="00F14CF6">
      <w:pPr>
        <w:spacing w:line="480" w:lineRule="auto"/>
        <w:jc w:val="center"/>
        <w:rPr>
          <w:rFonts w:ascii="Arial" w:hAnsi="Arial" w:cs="Arial"/>
          <w:b/>
          <w:bCs/>
        </w:rPr>
      </w:pPr>
      <w:r w:rsidRPr="00F14CF6">
        <w:rPr>
          <w:rFonts w:ascii="Arial" w:hAnsi="Arial" w:cs="Arial"/>
          <w:b/>
        </w:rPr>
        <w:t>Shelton, et al.</w:t>
      </w:r>
      <w:r>
        <w:rPr>
          <w:rFonts w:ascii="Arial" w:hAnsi="Arial" w:cs="Arial"/>
        </w:rPr>
        <w:t xml:space="preserve"> </w:t>
      </w:r>
      <w:r w:rsidRPr="00F14CF6">
        <w:rPr>
          <w:rFonts w:ascii="Arial" w:hAnsi="Arial" w:cs="Arial"/>
          <w:b/>
          <w:bCs/>
          <w:i/>
        </w:rPr>
        <w:t>Functional and Metabolic Consequences of a Mitochondrial Transporter SLC25A12 Gene Mutation in a family of Dutch Shepherd Dogs with Inflammatory Myopathy</w:t>
      </w:r>
    </w:p>
    <w:p w14:paraId="46903453" w14:textId="25342514" w:rsidR="00F14CF6" w:rsidRDefault="00F14CF6" w:rsidP="00F14CF6">
      <w:pPr>
        <w:spacing w:line="480" w:lineRule="auto"/>
        <w:rPr>
          <w:rFonts w:ascii="Arial" w:hAnsi="Arial" w:cs="Arial"/>
        </w:rPr>
      </w:pPr>
    </w:p>
    <w:p w14:paraId="0FA49233" w14:textId="2ACF8591" w:rsidR="00F14CF6" w:rsidRPr="00F14CF6" w:rsidRDefault="00F14CF6" w:rsidP="00F14CF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Supplementary Results</w:t>
      </w:r>
    </w:p>
    <w:p w14:paraId="0EF175BB" w14:textId="76CDEA79" w:rsidR="00F14CF6" w:rsidRPr="00CE1E2B" w:rsidRDefault="00F14CF6" w:rsidP="00F14CF6">
      <w:pPr>
        <w:spacing w:line="480" w:lineRule="auto"/>
        <w:rPr>
          <w:rFonts w:ascii="Times New Roman" w:hAnsi="Times New Roman" w:cs="Times New Roman"/>
          <w:i/>
        </w:rPr>
      </w:pPr>
      <w:r w:rsidRPr="00847481">
        <w:rPr>
          <w:rFonts w:ascii="Times New Roman" w:hAnsi="Times New Roman" w:cs="Times New Roman"/>
          <w:i/>
          <w:u w:val="single"/>
        </w:rPr>
        <w:t>1-Carbon and Folate Metabolism.</w:t>
      </w:r>
      <w:r w:rsidRPr="00CE1E2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The second most increased metabolite was 5-methyltetrahydrofolic acid (5-mTHF; </w:t>
      </w:r>
      <w:r w:rsidRPr="004D0614">
        <w:rPr>
          <w:rFonts w:ascii="Times New Roman" w:hAnsi="Times New Roman" w:cs="Times New Roman"/>
          <w:bCs/>
        </w:rPr>
        <w:t>Fig. 5B, Fig. 7P).</w:t>
      </w:r>
      <w:r>
        <w:rPr>
          <w:rFonts w:ascii="Times New Roman" w:hAnsi="Times New Roman" w:cs="Times New Roman"/>
        </w:rPr>
        <w:t xml:space="preserve">  C</w:t>
      </w:r>
      <w:r w:rsidRPr="00CE1E2B">
        <w:rPr>
          <w:rFonts w:ascii="Times New Roman" w:hAnsi="Times New Roman" w:cs="Times New Roman"/>
        </w:rPr>
        <w:t>hronic perturbations to cellular redox prod</w:t>
      </w:r>
      <w:r>
        <w:rPr>
          <w:rFonts w:ascii="Times New Roman" w:hAnsi="Times New Roman" w:cs="Times New Roman"/>
        </w:rPr>
        <w:t xml:space="preserve">uce sustained </w:t>
      </w:r>
      <w:r w:rsidRPr="00CE1E2B">
        <w:rPr>
          <w:rFonts w:ascii="Times New Roman" w:hAnsi="Times New Roman" w:cs="Times New Roman"/>
        </w:rPr>
        <w:t>reductions in flux of metabolites through the transmethylation</w:t>
      </w:r>
      <w:r>
        <w:rPr>
          <w:rFonts w:ascii="Times New Roman" w:hAnsi="Times New Roman" w:cs="Times New Roman"/>
        </w:rPr>
        <w:t xml:space="preserve"> </w:t>
      </w:r>
      <w:r w:rsidRPr="00CE1E2B">
        <w:rPr>
          <w:rFonts w:ascii="Times New Roman" w:hAnsi="Times New Roman" w:cs="Times New Roman"/>
        </w:rPr>
        <w:t>reactions needed to recycle folate and S-adenosylmethionine</w:t>
      </w:r>
      <w:r w:rsidR="009D0B5F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 xml:space="preserve">. </w:t>
      </w:r>
      <w:r w:rsidRPr="00CE1E2B">
        <w:rPr>
          <w:rFonts w:ascii="Times New Roman" w:hAnsi="Times New Roman" w:cs="Times New Roman"/>
        </w:rPr>
        <w:t>The AGC1 mutation produced primary redox disturbances that led to accumulation of 5-methyltetrahydrofolic acid</w:t>
      </w:r>
      <w:r>
        <w:rPr>
          <w:rFonts w:ascii="Times New Roman" w:hAnsi="Times New Roman" w:cs="Times New Roman"/>
        </w:rPr>
        <w:t xml:space="preserve"> (</w:t>
      </w:r>
      <w:r w:rsidRPr="004D0614">
        <w:rPr>
          <w:rFonts w:ascii="Times New Roman" w:hAnsi="Times New Roman" w:cs="Times New Roman"/>
          <w:bCs/>
        </w:rPr>
        <w:t>Table 1, Table S1).</w:t>
      </w:r>
    </w:p>
    <w:p w14:paraId="32DF7871" w14:textId="77777777" w:rsidR="00F14CF6" w:rsidRDefault="00F14CF6" w:rsidP="00F14CF6">
      <w:pPr>
        <w:spacing w:line="480" w:lineRule="auto"/>
        <w:rPr>
          <w:rFonts w:ascii="Times New Roman" w:hAnsi="Times New Roman" w:cs="Times New Roman"/>
          <w:i/>
          <w:u w:val="single"/>
        </w:rPr>
      </w:pPr>
    </w:p>
    <w:p w14:paraId="603E346A" w14:textId="432D8010" w:rsidR="00F14CF6" w:rsidRDefault="00F14CF6" w:rsidP="00F14CF6">
      <w:pPr>
        <w:spacing w:line="480" w:lineRule="auto"/>
        <w:rPr>
          <w:rFonts w:ascii="Times New Roman" w:hAnsi="Times New Roman" w:cs="Times New Roman"/>
        </w:rPr>
      </w:pPr>
      <w:r w:rsidRPr="00847481">
        <w:rPr>
          <w:rFonts w:ascii="Times New Roman" w:hAnsi="Times New Roman" w:cs="Times New Roman"/>
          <w:i/>
          <w:u w:val="single"/>
        </w:rPr>
        <w:t>Phospholipids.</w:t>
      </w:r>
      <w:r w:rsidRPr="00515096">
        <w:rPr>
          <w:rFonts w:ascii="Times New Roman" w:hAnsi="Times New Roman" w:cs="Times New Roman"/>
          <w:i/>
        </w:rPr>
        <w:t xml:space="preserve"> </w:t>
      </w:r>
      <w:r w:rsidRPr="005150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prominent secondary effect of the </w:t>
      </w:r>
      <w:r w:rsidRPr="00847481">
        <w:rPr>
          <w:rFonts w:ascii="Times New Roman" w:hAnsi="Times New Roman" w:cs="Times New Roman"/>
        </w:rPr>
        <w:t xml:space="preserve">p.L349P </w:t>
      </w:r>
      <w:r>
        <w:rPr>
          <w:rFonts w:ascii="Times New Roman" w:hAnsi="Times New Roman" w:cs="Times New Roman"/>
        </w:rPr>
        <w:t xml:space="preserve">substitution in AGC1 was the significant increases in </w:t>
      </w:r>
      <w:r w:rsidRPr="00515096">
        <w:rPr>
          <w:rFonts w:ascii="Times New Roman" w:hAnsi="Times New Roman" w:cs="Times New Roman"/>
        </w:rPr>
        <w:t xml:space="preserve">phospholipids and their biosynthetic precursors </w:t>
      </w:r>
      <w:r>
        <w:rPr>
          <w:rFonts w:ascii="Times New Roman" w:hAnsi="Times New Roman" w:cs="Times New Roman"/>
        </w:rPr>
        <w:t xml:space="preserve">as a group </w:t>
      </w:r>
      <w:r w:rsidRPr="00515096">
        <w:rPr>
          <w:rFonts w:ascii="Times New Roman" w:hAnsi="Times New Roman" w:cs="Times New Roman"/>
        </w:rPr>
        <w:t>in affected m</w:t>
      </w:r>
      <w:r>
        <w:rPr>
          <w:rFonts w:ascii="Times New Roman" w:hAnsi="Times New Roman" w:cs="Times New Roman"/>
        </w:rPr>
        <w:t>uscle samples (</w:t>
      </w:r>
      <w:r w:rsidRPr="004D0614">
        <w:rPr>
          <w:rFonts w:ascii="Times New Roman" w:hAnsi="Times New Roman" w:cs="Times New Roman"/>
          <w:bCs/>
        </w:rPr>
        <w:t xml:space="preserve">Table 1, Figure </w:t>
      </w:r>
      <w:r w:rsidR="009D0B5F" w:rsidRPr="004D0614">
        <w:rPr>
          <w:rFonts w:ascii="Times New Roman" w:hAnsi="Times New Roman" w:cs="Times New Roman"/>
          <w:bCs/>
        </w:rPr>
        <w:t>7</w:t>
      </w:r>
      <w:r w:rsidRPr="004D0614">
        <w:rPr>
          <w:rFonts w:ascii="Times New Roman" w:hAnsi="Times New Roman" w:cs="Times New Roman"/>
          <w:bCs/>
        </w:rPr>
        <w:t>).</w:t>
      </w:r>
      <w:r w:rsidRPr="00515096">
        <w:rPr>
          <w:rFonts w:ascii="Times New Roman" w:hAnsi="Times New Roman" w:cs="Times New Roman"/>
        </w:rPr>
        <w:t xml:space="preserve">  Among these were the precursors </w:t>
      </w:r>
      <w:r w:rsidRPr="00CE1E2B">
        <w:rPr>
          <w:rFonts w:ascii="Times New Roman" w:hAnsi="Times New Roman" w:cs="Times New Roman"/>
        </w:rPr>
        <w:t>ethanolamine, CDP-ethanolamine</w:t>
      </w:r>
      <w:r>
        <w:rPr>
          <w:rFonts w:ascii="Times New Roman" w:hAnsi="Times New Roman" w:cs="Times New Roman"/>
        </w:rPr>
        <w:t xml:space="preserve"> </w:t>
      </w:r>
      <w:r w:rsidRPr="004D0614">
        <w:rPr>
          <w:rFonts w:ascii="Times New Roman" w:hAnsi="Times New Roman" w:cs="Times New Roman"/>
        </w:rPr>
        <w:t xml:space="preserve">(Figure </w:t>
      </w:r>
      <w:r w:rsidR="009D0B5F" w:rsidRPr="004D0614">
        <w:rPr>
          <w:rFonts w:ascii="Times New Roman" w:hAnsi="Times New Roman" w:cs="Times New Roman"/>
        </w:rPr>
        <w:t>7</w:t>
      </w:r>
      <w:r w:rsidRPr="004D0614">
        <w:rPr>
          <w:rFonts w:ascii="Times New Roman" w:hAnsi="Times New Roman" w:cs="Times New Roman"/>
        </w:rPr>
        <w:t>A),</w:t>
      </w:r>
      <w:r>
        <w:rPr>
          <w:rFonts w:ascii="Times New Roman" w:hAnsi="Times New Roman" w:cs="Times New Roman"/>
        </w:rPr>
        <w:t xml:space="preserve"> </w:t>
      </w:r>
      <w:r w:rsidRPr="00CE1E2B">
        <w:rPr>
          <w:rFonts w:ascii="Times New Roman" w:hAnsi="Times New Roman" w:cs="Times New Roman"/>
        </w:rPr>
        <w:t>phosphoethanolamine</w:t>
      </w:r>
      <w:r>
        <w:rPr>
          <w:rFonts w:ascii="Times New Roman" w:hAnsi="Times New Roman" w:cs="Times New Roman"/>
        </w:rPr>
        <w:t xml:space="preserve"> (</w:t>
      </w:r>
      <w:r w:rsidRPr="004D0614">
        <w:rPr>
          <w:rFonts w:ascii="Times New Roman" w:hAnsi="Times New Roman" w:cs="Times New Roman"/>
          <w:bCs/>
        </w:rPr>
        <w:t xml:space="preserve">Figure </w:t>
      </w:r>
      <w:r w:rsidR="009D0B5F" w:rsidRPr="004D0614">
        <w:rPr>
          <w:rFonts w:ascii="Times New Roman" w:hAnsi="Times New Roman" w:cs="Times New Roman"/>
          <w:bCs/>
        </w:rPr>
        <w:t>7</w:t>
      </w:r>
      <w:r w:rsidRPr="004D0614">
        <w:rPr>
          <w:rFonts w:ascii="Times New Roman" w:hAnsi="Times New Roman" w:cs="Times New Roman"/>
          <w:bCs/>
        </w:rPr>
        <w:t>B),</w:t>
      </w:r>
      <w:r w:rsidRPr="00CE1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CE1E2B">
        <w:rPr>
          <w:rFonts w:ascii="Times New Roman" w:hAnsi="Times New Roman" w:cs="Times New Roman"/>
        </w:rPr>
        <w:t>glycerophosphocholine</w:t>
      </w:r>
      <w:r>
        <w:rPr>
          <w:rFonts w:ascii="Times New Roman" w:hAnsi="Times New Roman" w:cs="Times New Roman"/>
        </w:rPr>
        <w:t xml:space="preserve"> (</w:t>
      </w:r>
      <w:r w:rsidRPr="004D0614">
        <w:rPr>
          <w:rFonts w:ascii="Times New Roman" w:hAnsi="Times New Roman" w:cs="Times New Roman"/>
          <w:bCs/>
        </w:rPr>
        <w:t xml:space="preserve">Figure </w:t>
      </w:r>
      <w:r w:rsidR="009D0B5F" w:rsidRPr="004D0614">
        <w:rPr>
          <w:rFonts w:ascii="Times New Roman" w:hAnsi="Times New Roman" w:cs="Times New Roman"/>
          <w:bCs/>
        </w:rPr>
        <w:t>7</w:t>
      </w:r>
      <w:r w:rsidRPr="004D0614">
        <w:rPr>
          <w:rFonts w:ascii="Times New Roman" w:hAnsi="Times New Roman" w:cs="Times New Roman"/>
          <w:bCs/>
        </w:rPr>
        <w:t>C).</w:t>
      </w:r>
      <w:r w:rsidRPr="00CE1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Lysophosphatidylcholine (18:0), a product of phosphatidylcholine lipid turnover, was also increased (</w:t>
      </w:r>
      <w:r w:rsidRPr="004D0614">
        <w:rPr>
          <w:rFonts w:ascii="Times New Roman" w:hAnsi="Times New Roman" w:cs="Times New Roman"/>
          <w:bCs/>
        </w:rPr>
        <w:t xml:space="preserve">Figure </w:t>
      </w:r>
      <w:r w:rsidR="009D0B5F" w:rsidRPr="004D0614">
        <w:rPr>
          <w:rFonts w:ascii="Times New Roman" w:hAnsi="Times New Roman" w:cs="Times New Roman"/>
          <w:bCs/>
        </w:rPr>
        <w:t>7</w:t>
      </w:r>
      <w:r w:rsidRPr="004D0614">
        <w:rPr>
          <w:rFonts w:ascii="Times New Roman" w:hAnsi="Times New Roman" w:cs="Times New Roman"/>
          <w:bCs/>
        </w:rPr>
        <w:t>F).</w:t>
      </w:r>
      <w:r>
        <w:rPr>
          <w:rFonts w:ascii="Times New Roman" w:hAnsi="Times New Roman" w:cs="Times New Roman"/>
        </w:rPr>
        <w:t xml:space="preserve">  LysoPC lipids are the natural ligand for a damage associated molecular pattern (DAMP), G-protein coupled receptor that is also responsive to acid conditions associated with persistent inflammation or wound healing called GPR132</w:t>
      </w:r>
      <w:r w:rsidR="009D0B5F">
        <w:rPr>
          <w:rFonts w:ascii="Times New Roman" w:hAnsi="Times New Roman" w:cs="Times New Roman"/>
        </w:rPr>
        <w:t xml:space="preserve"> [2]</w:t>
      </w:r>
      <w:r>
        <w:rPr>
          <w:rFonts w:ascii="Times New Roman" w:hAnsi="Times New Roman" w:cs="Times New Roman"/>
        </w:rPr>
        <w:t xml:space="preserve">.  </w:t>
      </w:r>
      <w:r w:rsidRPr="00CE1E2B">
        <w:rPr>
          <w:rFonts w:ascii="Times New Roman" w:hAnsi="Times New Roman" w:cs="Times New Roman"/>
        </w:rPr>
        <w:t xml:space="preserve">Interestingly, the only class of phospholipids that </w:t>
      </w:r>
      <w:r>
        <w:rPr>
          <w:rFonts w:ascii="Times New Roman" w:hAnsi="Times New Roman" w:cs="Times New Roman"/>
        </w:rPr>
        <w:t>was</w:t>
      </w:r>
      <w:r w:rsidRPr="00CE1E2B">
        <w:rPr>
          <w:rFonts w:ascii="Times New Roman" w:hAnsi="Times New Roman" w:cs="Times New Roman"/>
        </w:rPr>
        <w:t xml:space="preserve"> decreased was a phosphocholine plasmalogen PC(20:5/P-16:0)</w:t>
      </w:r>
      <w:r>
        <w:rPr>
          <w:rFonts w:ascii="Times New Roman" w:hAnsi="Times New Roman" w:cs="Times New Roman"/>
        </w:rPr>
        <w:t xml:space="preserve"> (</w:t>
      </w:r>
      <w:r w:rsidRPr="004D0614">
        <w:rPr>
          <w:rFonts w:ascii="Times New Roman" w:hAnsi="Times New Roman" w:cs="Times New Roman"/>
          <w:bCs/>
        </w:rPr>
        <w:t>Fig. 7G).</w:t>
      </w:r>
      <w:r w:rsidRPr="00CE1E2B">
        <w:rPr>
          <w:rFonts w:ascii="Times New Roman" w:hAnsi="Times New Roman" w:cs="Times New Roman"/>
        </w:rPr>
        <w:t xml:space="preserve">  </w:t>
      </w:r>
      <w:r w:rsidRPr="00515096">
        <w:rPr>
          <w:rFonts w:ascii="Times New Roman" w:hAnsi="Times New Roman" w:cs="Times New Roman"/>
        </w:rPr>
        <w:t xml:space="preserve">Plasmalogens are enriched in tissues with heavy oxidative burdens like muscle, nerve, and brain.  The loss of PC plasmalogens combined with an increase in precursors for </w:t>
      </w:r>
      <w:r w:rsidRPr="00515096">
        <w:rPr>
          <w:rFonts w:ascii="Times New Roman" w:hAnsi="Times New Roman" w:cs="Times New Roman"/>
        </w:rPr>
        <w:lastRenderedPageBreak/>
        <w:t>phosphoethanolamine plasmalogens</w:t>
      </w:r>
      <w:r>
        <w:rPr>
          <w:rFonts w:ascii="Times New Roman" w:hAnsi="Times New Roman" w:cs="Times New Roman"/>
        </w:rPr>
        <w:t>, increased oxidized glutathione (</w:t>
      </w:r>
      <w:r w:rsidRPr="00CB155C">
        <w:rPr>
          <w:rFonts w:ascii="Times New Roman" w:hAnsi="Times New Roman" w:cs="Times New Roman"/>
          <w:b/>
        </w:rPr>
        <w:t>Fig</w:t>
      </w:r>
      <w:r w:rsidRPr="004D0614">
        <w:rPr>
          <w:rFonts w:ascii="Times New Roman" w:hAnsi="Times New Roman" w:cs="Times New Roman"/>
          <w:bCs/>
        </w:rPr>
        <w:t>. 6G)</w:t>
      </w:r>
      <w:r>
        <w:rPr>
          <w:rFonts w:ascii="Times New Roman" w:hAnsi="Times New Roman" w:cs="Times New Roman"/>
        </w:rPr>
        <w:t xml:space="preserve"> and cystine (</w:t>
      </w:r>
      <w:r w:rsidRPr="004D0614">
        <w:rPr>
          <w:rFonts w:ascii="Times New Roman" w:hAnsi="Times New Roman" w:cs="Times New Roman"/>
          <w:bCs/>
        </w:rPr>
        <w:t>Fig.</w:t>
      </w:r>
      <w:r>
        <w:rPr>
          <w:rFonts w:ascii="Times New Roman" w:hAnsi="Times New Roman" w:cs="Times New Roman"/>
          <w:b/>
        </w:rPr>
        <w:t xml:space="preserve"> </w:t>
      </w:r>
      <w:r w:rsidRPr="004D0614">
        <w:rPr>
          <w:rFonts w:ascii="Times New Roman" w:hAnsi="Times New Roman" w:cs="Times New Roman"/>
          <w:bCs/>
        </w:rPr>
        <w:t>6E)</w:t>
      </w:r>
      <w:r w:rsidRPr="00515096">
        <w:rPr>
          <w:rFonts w:ascii="Times New Roman" w:hAnsi="Times New Roman" w:cs="Times New Roman"/>
        </w:rPr>
        <w:t xml:space="preserve"> suggests that compensatory up-regulation of oxidative defenses has reached its limits in the affected animals, and oxidative damage and inflammation have become prominent.</w:t>
      </w:r>
    </w:p>
    <w:p w14:paraId="03FEEFE8" w14:textId="77777777" w:rsidR="00F14CF6" w:rsidRDefault="00F14CF6" w:rsidP="00F14CF6">
      <w:pPr>
        <w:spacing w:line="480" w:lineRule="auto"/>
        <w:rPr>
          <w:rFonts w:ascii="Times New Roman" w:hAnsi="Times New Roman" w:cs="Times New Roman"/>
          <w:i/>
          <w:u w:val="single"/>
        </w:rPr>
      </w:pPr>
    </w:p>
    <w:p w14:paraId="6E5204C5" w14:textId="522A71F9" w:rsidR="00E90467" w:rsidRDefault="00F14CF6" w:rsidP="00F14CF6">
      <w:pPr>
        <w:spacing w:line="480" w:lineRule="auto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  <w:i/>
          <w:u w:val="single"/>
        </w:rPr>
        <w:t>Glycosphingolipids</w:t>
      </w:r>
      <w:r w:rsidRPr="00F52708">
        <w:rPr>
          <w:rFonts w:ascii="Times New Roman" w:hAnsi="Times New Roman" w:cs="Times New Roman"/>
          <w:i/>
        </w:rPr>
        <w:t>.</w:t>
      </w:r>
      <w:r w:rsidRPr="00CE1E2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Other s</w:t>
      </w:r>
      <w:r w:rsidRPr="00CE1E2B">
        <w:rPr>
          <w:rFonts w:ascii="Times New Roman" w:hAnsi="Times New Roman" w:cs="Times New Roman"/>
        </w:rPr>
        <w:t xml:space="preserve">econdary effects of the </w:t>
      </w:r>
      <w:r w:rsidRPr="00F52708">
        <w:rPr>
          <w:rFonts w:ascii="Times New Roman" w:hAnsi="Times New Roman" w:cs="Times New Roman"/>
        </w:rPr>
        <w:t xml:space="preserve">p.L349P </w:t>
      </w:r>
      <w:r w:rsidRPr="00CE1E2B">
        <w:rPr>
          <w:rFonts w:ascii="Times New Roman" w:hAnsi="Times New Roman" w:cs="Times New Roman"/>
        </w:rPr>
        <w:t xml:space="preserve">substitution in AGC1 included </w:t>
      </w:r>
      <w:r>
        <w:rPr>
          <w:rFonts w:ascii="Times New Roman" w:hAnsi="Times New Roman" w:cs="Times New Roman"/>
        </w:rPr>
        <w:t>a</w:t>
      </w:r>
      <w:r w:rsidRPr="00CE1E2B">
        <w:rPr>
          <w:rFonts w:ascii="Times New Roman" w:hAnsi="Times New Roman" w:cs="Times New Roman"/>
        </w:rPr>
        <w:t xml:space="preserve"> decrease </w:t>
      </w:r>
      <w:r>
        <w:rPr>
          <w:rFonts w:ascii="Times New Roman" w:hAnsi="Times New Roman" w:cs="Times New Roman"/>
        </w:rPr>
        <w:t>in dihexosylceramide (DHC) species (</w:t>
      </w:r>
      <w:r w:rsidRPr="004D0614">
        <w:rPr>
          <w:rFonts w:ascii="Times New Roman" w:hAnsi="Times New Roman" w:cs="Times New Roman"/>
          <w:bCs/>
        </w:rPr>
        <w:t>Fig. 7E,H),</w:t>
      </w:r>
      <w:r>
        <w:rPr>
          <w:rFonts w:ascii="Times New Roman" w:hAnsi="Times New Roman" w:cs="Times New Roman"/>
        </w:rPr>
        <w:t xml:space="preserve"> and an increase in trihexosylceramide (THC) species (</w:t>
      </w:r>
      <w:r w:rsidRPr="004D0614">
        <w:rPr>
          <w:rFonts w:ascii="Times New Roman" w:hAnsi="Times New Roman" w:cs="Times New Roman"/>
          <w:bCs/>
        </w:rPr>
        <w:t>Fig. 7I).</w:t>
      </w:r>
      <w:r>
        <w:rPr>
          <w:rFonts w:ascii="Times New Roman" w:hAnsi="Times New Roman" w:cs="Times New Roman"/>
        </w:rPr>
        <w:t xml:space="preserve">  The non-glycosylated precursor ceramide(d18:1/24:1, </w:t>
      </w:r>
      <w:r w:rsidRPr="004D0614">
        <w:rPr>
          <w:rFonts w:ascii="Times New Roman" w:hAnsi="Times New Roman" w:cs="Times New Roman"/>
          <w:bCs/>
        </w:rPr>
        <w:t>Fig. 7J)</w:t>
      </w:r>
      <w:r>
        <w:rPr>
          <w:rFonts w:ascii="Times New Roman" w:hAnsi="Times New Roman" w:cs="Times New Roman"/>
        </w:rPr>
        <w:t xml:space="preserve"> was unchanged, but its product sphingomyelins were increased (</w:t>
      </w:r>
      <w:r w:rsidRPr="004D0614">
        <w:rPr>
          <w:rFonts w:ascii="Times New Roman" w:hAnsi="Times New Roman" w:cs="Times New Roman"/>
          <w:bCs/>
        </w:rPr>
        <w:t>Figure 7K,</w:t>
      </w:r>
      <w:r>
        <w:rPr>
          <w:rFonts w:ascii="Times New Roman" w:hAnsi="Times New Roman" w:cs="Times New Roman"/>
        </w:rPr>
        <w:t xml:space="preserve"> Table 1, Table S1). A common</w:t>
      </w:r>
      <w:r w:rsidRPr="00CE1E2B">
        <w:rPr>
          <w:rFonts w:ascii="Times New Roman" w:hAnsi="Times New Roman" w:cs="Times New Roman"/>
        </w:rPr>
        <w:t xml:space="preserve"> dihexosylceramide</w:t>
      </w:r>
      <w:r>
        <w:rPr>
          <w:rFonts w:ascii="Times New Roman" w:hAnsi="Times New Roman" w:cs="Times New Roman"/>
        </w:rPr>
        <w:t xml:space="preserve">, </w:t>
      </w:r>
      <w:r w:rsidRPr="00CE1E2B">
        <w:rPr>
          <w:rFonts w:ascii="Times New Roman" w:hAnsi="Times New Roman" w:cs="Times New Roman"/>
        </w:rPr>
        <w:t>DHC</w:t>
      </w:r>
      <w:r>
        <w:rPr>
          <w:rFonts w:ascii="Times New Roman" w:hAnsi="Times New Roman" w:cs="Times New Roman"/>
        </w:rPr>
        <w:t>(</w:t>
      </w:r>
      <w:r w:rsidRPr="00CE1E2B">
        <w:rPr>
          <w:rFonts w:ascii="Times New Roman" w:hAnsi="Times New Roman" w:cs="Times New Roman"/>
        </w:rPr>
        <w:t>d18:1/24:</w:t>
      </w:r>
      <w:r>
        <w:rPr>
          <w:rFonts w:ascii="Times New Roman" w:hAnsi="Times New Roman" w:cs="Times New Roman"/>
        </w:rPr>
        <w:t>1</w:t>
      </w:r>
      <w:r w:rsidRPr="004D0614">
        <w:rPr>
          <w:rFonts w:ascii="Times New Roman" w:hAnsi="Times New Roman" w:cs="Times New Roman"/>
        </w:rPr>
        <w:t>, Fig. 7E)</w:t>
      </w:r>
      <w:r>
        <w:rPr>
          <w:rFonts w:ascii="Times New Roman" w:hAnsi="Times New Roman" w:cs="Times New Roman"/>
        </w:rPr>
        <w:t xml:space="preserve"> made from the corresponding ceramide contains the sugars glucose and galactose and is called lactosylceramide.  Lactosylceramide creates an antigenic epitope on cells known as the CD17w antigen. </w:t>
      </w:r>
      <w:r w:rsidRPr="00CE1E2B">
        <w:rPr>
          <w:rFonts w:ascii="Times New Roman" w:hAnsi="Times New Roman" w:cs="Times New Roman"/>
        </w:rPr>
        <w:t>DHC d18:1/24:</w:t>
      </w:r>
      <w:r>
        <w:rPr>
          <w:rFonts w:ascii="Times New Roman" w:hAnsi="Times New Roman" w:cs="Times New Roman"/>
        </w:rPr>
        <w:t>1</w:t>
      </w:r>
      <w:r w:rsidRPr="00CE1E2B">
        <w:rPr>
          <w:rFonts w:ascii="Times New Roman" w:hAnsi="Times New Roman" w:cs="Times New Roman"/>
        </w:rPr>
        <w:t xml:space="preserve"> is the two-sugar </w:t>
      </w:r>
      <w:r>
        <w:rPr>
          <w:rFonts w:ascii="Times New Roman" w:hAnsi="Times New Roman" w:cs="Times New Roman"/>
        </w:rPr>
        <w:t>glycosphingolipid derived from</w:t>
      </w:r>
      <w:r w:rsidRPr="00CE1E2B">
        <w:rPr>
          <w:rFonts w:ascii="Times New Roman" w:hAnsi="Times New Roman" w:cs="Times New Roman"/>
        </w:rPr>
        <w:t xml:space="preserve"> the corresponding trihexosylceramide (THC) d18:1/24:</w:t>
      </w:r>
      <w:r>
        <w:rPr>
          <w:rFonts w:ascii="Times New Roman" w:hAnsi="Times New Roman" w:cs="Times New Roman"/>
        </w:rPr>
        <w:t>1</w:t>
      </w:r>
      <w:r w:rsidRPr="00CE1E2B">
        <w:rPr>
          <w:rFonts w:ascii="Times New Roman" w:hAnsi="Times New Roman" w:cs="Times New Roman"/>
        </w:rPr>
        <w:t xml:space="preserve"> via the lysosomal enzyme </w:t>
      </w:r>
      <w:r>
        <w:rPr>
          <w:rFonts w:ascii="Times New Roman" w:hAnsi="Times New Roman" w:cs="Times New Roman"/>
        </w:rPr>
        <w:t>alpha</w:t>
      </w:r>
      <w:r w:rsidRPr="00CE1E2B">
        <w:rPr>
          <w:rFonts w:ascii="Times New Roman" w:hAnsi="Times New Roman" w:cs="Times New Roman"/>
        </w:rPr>
        <w:t>-galactosidase</w:t>
      </w:r>
      <w:r>
        <w:rPr>
          <w:rFonts w:ascii="Times New Roman" w:hAnsi="Times New Roman" w:cs="Times New Roman"/>
        </w:rPr>
        <w:t>-A</w:t>
      </w:r>
      <w:r w:rsidRPr="00CE1E2B">
        <w:rPr>
          <w:rFonts w:ascii="Times New Roman" w:hAnsi="Times New Roman" w:cs="Times New Roman"/>
        </w:rPr>
        <w:t xml:space="preserve">.  This THC is also </w:t>
      </w:r>
      <w:r>
        <w:rPr>
          <w:rFonts w:ascii="Times New Roman" w:hAnsi="Times New Roman" w:cs="Times New Roman"/>
        </w:rPr>
        <w:t>known as</w:t>
      </w:r>
      <w:r w:rsidRPr="00CE1E2B">
        <w:rPr>
          <w:rFonts w:ascii="Times New Roman" w:hAnsi="Times New Roman" w:cs="Times New Roman"/>
        </w:rPr>
        <w:t xml:space="preserve"> a globotriaosylceramide (Gb3) and </w:t>
      </w:r>
      <w:r>
        <w:rPr>
          <w:rFonts w:ascii="Times New Roman" w:hAnsi="Times New Roman" w:cs="Times New Roman"/>
        </w:rPr>
        <w:t xml:space="preserve">the glycolipid antigen </w:t>
      </w:r>
      <w:r w:rsidRPr="00CE1E2B">
        <w:rPr>
          <w:rFonts w:ascii="Times New Roman" w:hAnsi="Times New Roman" w:cs="Times New Roman"/>
        </w:rPr>
        <w:t xml:space="preserve">CD77.  </w:t>
      </w:r>
      <w:r w:rsidRPr="00515096">
        <w:rPr>
          <w:rFonts w:ascii="Times New Roman" w:hAnsi="Times New Roman" w:cs="Times New Roman"/>
        </w:rPr>
        <w:t>Gb3/CD77 is a B-cell differentiation antigen that can lead to apoptosis</w:t>
      </w:r>
      <w:r w:rsidR="004D0614">
        <w:rPr>
          <w:rFonts w:ascii="Times New Roman" w:hAnsi="Times New Roman" w:cs="Times New Roman"/>
        </w:rPr>
        <w:t xml:space="preserve"> [3]</w:t>
      </w:r>
      <w:r>
        <w:rPr>
          <w:rFonts w:ascii="Times New Roman" w:hAnsi="Times New Roman" w:cs="Times New Roman"/>
        </w:rPr>
        <w:t xml:space="preserve">. </w:t>
      </w:r>
      <w:r w:rsidRPr="00CE1E2B">
        <w:rPr>
          <w:rFonts w:ascii="Times New Roman" w:hAnsi="Times New Roman" w:cs="Times New Roman"/>
        </w:rPr>
        <w:t xml:space="preserve"> N-acetyl glucosamine-1-phosphate (N-AG-1P) is a precursor of Gb4 (globotetraosylceramide) synthesis and is known to play an important role on the post-synaptic membrane of the neuromuscular junction</w:t>
      </w:r>
      <w:r w:rsidR="004D0614">
        <w:rPr>
          <w:rFonts w:ascii="Times New Roman" w:hAnsi="Times New Roman" w:cs="Times New Roman"/>
        </w:rPr>
        <w:t xml:space="preserve"> [4]</w:t>
      </w:r>
      <w:r>
        <w:rPr>
          <w:rFonts w:ascii="Times New Roman" w:hAnsi="Times New Roman" w:cs="Times New Roman"/>
        </w:rPr>
        <w:t xml:space="preserve">, </w:t>
      </w:r>
      <w:r w:rsidRPr="00CE1E2B">
        <w:rPr>
          <w:rFonts w:ascii="Times New Roman" w:hAnsi="Times New Roman" w:cs="Times New Roman"/>
        </w:rPr>
        <w:t xml:space="preserve">and </w:t>
      </w:r>
      <w:r w:rsidRPr="00515096">
        <w:rPr>
          <w:rFonts w:ascii="Times New Roman" w:hAnsi="Times New Roman" w:cs="Times New Roman"/>
        </w:rPr>
        <w:t>TNF-a</w:t>
      </w:r>
      <w:r>
        <w:rPr>
          <w:rFonts w:ascii="Times New Roman" w:hAnsi="Times New Roman" w:cs="Times New Roman"/>
        </w:rPr>
        <w:t>lpha</w:t>
      </w:r>
      <w:r w:rsidRPr="00515096">
        <w:rPr>
          <w:rFonts w:ascii="Times New Roman" w:hAnsi="Times New Roman" w:cs="Times New Roman"/>
        </w:rPr>
        <w:t xml:space="preserve"> stimulated inflammation</w:t>
      </w:r>
      <w:r w:rsidR="004D0614">
        <w:rPr>
          <w:rFonts w:ascii="Times New Roman" w:hAnsi="Times New Roman" w:cs="Times New Roman"/>
        </w:rPr>
        <w:t xml:space="preserve"> [5]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CE1E2B">
        <w:rPr>
          <w:rFonts w:ascii="Times New Roman" w:hAnsi="Times New Roman" w:cs="Times New Roman"/>
          <w:color w:val="FF0000"/>
        </w:rPr>
        <w:t xml:space="preserve"> </w:t>
      </w:r>
      <w:r w:rsidRPr="00CE1E2B">
        <w:rPr>
          <w:rFonts w:ascii="Times New Roman" w:hAnsi="Times New Roman" w:cs="Times New Roman"/>
        </w:rPr>
        <w:t>N-AG-1P was also increased (</w:t>
      </w:r>
      <w:r>
        <w:rPr>
          <w:rFonts w:ascii="Times New Roman" w:hAnsi="Times New Roman" w:cs="Times New Roman"/>
        </w:rPr>
        <w:t>Table S1)</w:t>
      </w:r>
      <w:r w:rsidRPr="00CE1E2B">
        <w:rPr>
          <w:rFonts w:ascii="Times New Roman" w:hAnsi="Times New Roman" w:cs="Times New Roman"/>
        </w:rPr>
        <w:t>. Gb4 was not directly measured in this analysis.</w:t>
      </w:r>
      <w:r>
        <w:rPr>
          <w:rFonts w:ascii="Times New Roman" w:hAnsi="Times New Roman" w:cs="Times New Roman"/>
        </w:rPr>
        <w:t xml:space="preserve">  The increase in THC glycosphingolipids associated with a decrease in the DHCs derived from the larger glycolipids is consistent with an effect of the AGC1 mutation to impair lysosomal processing and recycling of glycosphingolipids.  </w:t>
      </w:r>
    </w:p>
    <w:p w14:paraId="41634190" w14:textId="77777777" w:rsidR="00E90467" w:rsidRDefault="00E9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4FEACA" w14:textId="7AA9484B" w:rsidR="00E60905" w:rsidRDefault="00E60905" w:rsidP="00F14CF6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Supplementary References</w:t>
      </w:r>
    </w:p>
    <w:p w14:paraId="0ABE791D" w14:textId="2A8D457D" w:rsidR="009D0B5F" w:rsidRDefault="009D0B5F" w:rsidP="009D0B5F">
      <w:p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[1] </w:t>
      </w:r>
      <w:r w:rsidRPr="00CE1E2B">
        <w:rPr>
          <w:rFonts w:ascii="Times New Roman" w:hAnsi="Times New Roman" w:cs="Times New Roman"/>
          <w:noProof/>
        </w:rPr>
        <w:t>Naviaux</w:t>
      </w:r>
      <w:r>
        <w:rPr>
          <w:rFonts w:ascii="Times New Roman" w:hAnsi="Times New Roman" w:cs="Times New Roman"/>
          <w:noProof/>
        </w:rPr>
        <w:t xml:space="preserve"> RK. </w:t>
      </w:r>
      <w:r w:rsidRPr="00CE1E2B">
        <w:rPr>
          <w:rFonts w:ascii="Times New Roman" w:hAnsi="Times New Roman" w:cs="Times New Roman"/>
          <w:noProof/>
        </w:rPr>
        <w:t xml:space="preserve">Metabolic features of the cell danger response. </w:t>
      </w:r>
      <w:r w:rsidRPr="00146FC4">
        <w:rPr>
          <w:rFonts w:ascii="Times New Roman" w:hAnsi="Times New Roman" w:cs="Times New Roman"/>
          <w:iCs/>
          <w:noProof/>
        </w:rPr>
        <w:t xml:space="preserve">Mitochondrion </w:t>
      </w:r>
      <w:r>
        <w:rPr>
          <w:rFonts w:ascii="Times New Roman" w:hAnsi="Times New Roman" w:cs="Times New Roman"/>
          <w:noProof/>
        </w:rPr>
        <w:t>2014;</w:t>
      </w:r>
      <w:r w:rsidRPr="00CE1E2B">
        <w:rPr>
          <w:rFonts w:ascii="Times New Roman" w:hAnsi="Times New Roman" w:cs="Times New Roman"/>
          <w:noProof/>
        </w:rPr>
        <w:t xml:space="preserve"> </w:t>
      </w:r>
      <w:r w:rsidRPr="00840570">
        <w:rPr>
          <w:rFonts w:ascii="Times New Roman" w:hAnsi="Times New Roman" w:cs="Times New Roman"/>
          <w:bCs/>
          <w:noProof/>
        </w:rPr>
        <w:t>16</w:t>
      </w:r>
      <w:r>
        <w:rPr>
          <w:rFonts w:ascii="Times New Roman" w:hAnsi="Times New Roman" w:cs="Times New Roman"/>
          <w:bCs/>
          <w:noProof/>
        </w:rPr>
        <w:t>;</w:t>
      </w:r>
      <w:r w:rsidRPr="00CE1E2B">
        <w:rPr>
          <w:rFonts w:ascii="Times New Roman" w:hAnsi="Times New Roman" w:cs="Times New Roman"/>
          <w:noProof/>
        </w:rPr>
        <w:t xml:space="preserve"> 7-17.</w:t>
      </w:r>
    </w:p>
    <w:p w14:paraId="19A81DB7" w14:textId="4969A2B4" w:rsidR="004A35B1" w:rsidRDefault="004A35B1" w:rsidP="009D0B5F">
      <w:p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[2] Weiss KT, Fante M, Kohl G, Schreml J, Haubner F, Kreutz M et al.Proton-sensing G protein-coupled receptors as regulators of cell proliferationand migration during tumor grow</w:t>
      </w:r>
      <w:r w:rsidR="004D0614">
        <w:rPr>
          <w:rFonts w:ascii="Times New Roman" w:hAnsi="Times New Roman" w:cs="Times New Roman"/>
          <w:noProof/>
        </w:rPr>
        <w:t>t</w:t>
      </w:r>
      <w:r>
        <w:rPr>
          <w:rFonts w:ascii="Times New Roman" w:hAnsi="Times New Roman" w:cs="Times New Roman"/>
          <w:noProof/>
        </w:rPr>
        <w:t>h and wound healing. Exp Dermatol 2017;</w:t>
      </w:r>
      <w:r w:rsidR="00B35D0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26: 127-132</w:t>
      </w:r>
      <w:r w:rsidR="004D0614">
        <w:rPr>
          <w:rFonts w:ascii="Times New Roman" w:hAnsi="Times New Roman" w:cs="Times New Roman"/>
          <w:noProof/>
        </w:rPr>
        <w:t xml:space="preserve">. </w:t>
      </w:r>
    </w:p>
    <w:p w14:paraId="2F41E98A" w14:textId="71469DEF" w:rsidR="0004069A" w:rsidRDefault="0004069A" w:rsidP="009D0B5F">
      <w:p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[3] Tetaud C, Falguieres T, Carlier K, Lecluse Y, Garibal J, Couland E et al. Two distinct Gb3/CD77 signaling pathways leading to apoptosis are triggered by anti-Gb3/CD77 mAB and verotoxin-1. J Biol Chem 2003;</w:t>
      </w:r>
      <w:r w:rsidR="00B35D0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278:45200-45208.  </w:t>
      </w:r>
    </w:p>
    <w:p w14:paraId="2680088B" w14:textId="4A6A936A" w:rsidR="001D065F" w:rsidRDefault="001D065F" w:rsidP="009D0B5F">
      <w:p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[4] Parkhomovskiy N, Kammesheidt A, Martin PT. N-acetyllactosamine and the CT carbohydrate antigen mediate agrin-dependent activation of MuSK  and acetylcholine receptor clustering in skeletal muscle. Mol Cell Neurosci 2000;</w:t>
      </w:r>
      <w:r w:rsidR="00F13619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15:380-397. </w:t>
      </w:r>
    </w:p>
    <w:p w14:paraId="6457FCB7" w14:textId="65858832" w:rsidR="001D065F" w:rsidRDefault="001D065F" w:rsidP="009D0B5F">
      <w:p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[5] Park SY, Kwak CY, Shayman JA, Kim JH. Globoside promotes activation of ERK by interaction with the epidermal growth factor receptor. Biochim Biophys Acta 2012;</w:t>
      </w:r>
      <w:r w:rsidR="00F13619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1820:1141-1148. </w:t>
      </w:r>
    </w:p>
    <w:p w14:paraId="29488AB7" w14:textId="1577B6F1" w:rsidR="00E60905" w:rsidRPr="00E60905" w:rsidRDefault="00E60905" w:rsidP="00F14CF6">
      <w:pPr>
        <w:spacing w:line="480" w:lineRule="auto"/>
        <w:rPr>
          <w:rFonts w:ascii="Arial" w:hAnsi="Arial" w:cs="Arial"/>
        </w:rPr>
      </w:pPr>
    </w:p>
    <w:sectPr w:rsidR="00E60905" w:rsidRPr="00E60905" w:rsidSect="00E906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79F4" w14:textId="77777777" w:rsidR="00325407" w:rsidRDefault="00325407" w:rsidP="000E784A">
      <w:r>
        <w:separator/>
      </w:r>
    </w:p>
  </w:endnote>
  <w:endnote w:type="continuationSeparator" w:id="0">
    <w:p w14:paraId="0B5CECBE" w14:textId="77777777" w:rsidR="00325407" w:rsidRDefault="00325407" w:rsidP="000E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7983" w14:textId="42DF41F6" w:rsidR="000E784A" w:rsidRPr="000E784A" w:rsidRDefault="000E784A" w:rsidP="000E784A">
    <w:pPr>
      <w:pStyle w:val="Footer"/>
      <w:jc w:val="center"/>
      <w:rPr>
        <w:rFonts w:ascii="Arial" w:hAnsi="Arial" w:cs="Arial"/>
        <w:sz w:val="22"/>
        <w:szCs w:val="22"/>
      </w:rPr>
    </w:pPr>
    <w:r w:rsidRPr="000E784A">
      <w:rPr>
        <w:rFonts w:ascii="Arial" w:hAnsi="Arial" w:cs="Arial"/>
        <w:sz w:val="22"/>
        <w:szCs w:val="22"/>
      </w:rPr>
      <w:t xml:space="preserve">Page </w:t>
    </w:r>
    <w:r w:rsidRPr="000E784A">
      <w:rPr>
        <w:rFonts w:ascii="Arial" w:hAnsi="Arial" w:cs="Arial"/>
        <w:sz w:val="22"/>
        <w:szCs w:val="22"/>
      </w:rPr>
      <w:fldChar w:fldCharType="begin"/>
    </w:r>
    <w:r w:rsidRPr="000E784A">
      <w:rPr>
        <w:rFonts w:ascii="Arial" w:hAnsi="Arial" w:cs="Arial"/>
        <w:sz w:val="22"/>
        <w:szCs w:val="22"/>
      </w:rPr>
      <w:instrText xml:space="preserve"> PAGE </w:instrText>
    </w:r>
    <w:r w:rsidRPr="000E784A">
      <w:rPr>
        <w:rFonts w:ascii="Arial" w:hAnsi="Arial" w:cs="Arial"/>
        <w:sz w:val="22"/>
        <w:szCs w:val="22"/>
      </w:rPr>
      <w:fldChar w:fldCharType="separate"/>
    </w:r>
    <w:r w:rsidRPr="000E784A">
      <w:rPr>
        <w:rFonts w:ascii="Arial" w:hAnsi="Arial" w:cs="Arial"/>
        <w:noProof/>
        <w:sz w:val="22"/>
        <w:szCs w:val="22"/>
      </w:rPr>
      <w:t>1</w:t>
    </w:r>
    <w:r w:rsidRPr="000E784A">
      <w:rPr>
        <w:rFonts w:ascii="Arial" w:hAnsi="Arial" w:cs="Arial"/>
        <w:sz w:val="22"/>
        <w:szCs w:val="22"/>
      </w:rPr>
      <w:fldChar w:fldCharType="end"/>
    </w:r>
    <w:r w:rsidRPr="000E784A">
      <w:rPr>
        <w:rFonts w:ascii="Arial" w:hAnsi="Arial" w:cs="Arial"/>
        <w:sz w:val="22"/>
        <w:szCs w:val="22"/>
      </w:rPr>
      <w:t xml:space="preserve"> of </w:t>
    </w:r>
    <w:r w:rsidRPr="000E784A">
      <w:rPr>
        <w:rFonts w:ascii="Arial" w:hAnsi="Arial" w:cs="Arial"/>
        <w:sz w:val="22"/>
        <w:szCs w:val="22"/>
      </w:rPr>
      <w:fldChar w:fldCharType="begin"/>
    </w:r>
    <w:r w:rsidRPr="000E784A">
      <w:rPr>
        <w:rFonts w:ascii="Arial" w:hAnsi="Arial" w:cs="Arial"/>
        <w:sz w:val="22"/>
        <w:szCs w:val="22"/>
      </w:rPr>
      <w:instrText xml:space="preserve"> NUMPAGES </w:instrText>
    </w:r>
    <w:r w:rsidRPr="000E784A">
      <w:rPr>
        <w:rFonts w:ascii="Arial" w:hAnsi="Arial" w:cs="Arial"/>
        <w:sz w:val="22"/>
        <w:szCs w:val="22"/>
      </w:rPr>
      <w:fldChar w:fldCharType="separate"/>
    </w:r>
    <w:r w:rsidRPr="000E784A">
      <w:rPr>
        <w:rFonts w:ascii="Arial" w:hAnsi="Arial" w:cs="Arial"/>
        <w:noProof/>
        <w:sz w:val="22"/>
        <w:szCs w:val="22"/>
      </w:rPr>
      <w:t>2</w:t>
    </w:r>
    <w:r w:rsidRPr="000E784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B51B" w14:textId="77777777" w:rsidR="00325407" w:rsidRDefault="00325407" w:rsidP="000E784A">
      <w:r>
        <w:separator/>
      </w:r>
    </w:p>
  </w:footnote>
  <w:footnote w:type="continuationSeparator" w:id="0">
    <w:p w14:paraId="7A49E1EA" w14:textId="77777777" w:rsidR="00325407" w:rsidRDefault="00325407" w:rsidP="000E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ecular Psychiatr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0rz2zs3tfethexaxnv05tnssf2pxawwex2&quot;&gt;RKN Refs Jan 2019&lt;record-ids&gt;&lt;item&gt;19761&lt;/item&gt;&lt;item&gt;21066&lt;/item&gt;&lt;item&gt;21068&lt;/item&gt;&lt;item&gt;21070&lt;/item&gt;&lt;item&gt;21863&lt;/item&gt;&lt;/record-ids&gt;&lt;/item&gt;&lt;/Libraries&gt;"/>
  </w:docVars>
  <w:rsids>
    <w:rsidRoot w:val="00F14CF6"/>
    <w:rsid w:val="0002415C"/>
    <w:rsid w:val="00026FF4"/>
    <w:rsid w:val="0004069A"/>
    <w:rsid w:val="00040D76"/>
    <w:rsid w:val="000506B1"/>
    <w:rsid w:val="00065108"/>
    <w:rsid w:val="00065220"/>
    <w:rsid w:val="00073A1B"/>
    <w:rsid w:val="000878CD"/>
    <w:rsid w:val="000B519E"/>
    <w:rsid w:val="000D761B"/>
    <w:rsid w:val="000E784A"/>
    <w:rsid w:val="001051FD"/>
    <w:rsid w:val="0010573A"/>
    <w:rsid w:val="001126B6"/>
    <w:rsid w:val="00133E16"/>
    <w:rsid w:val="00134A6F"/>
    <w:rsid w:val="00145939"/>
    <w:rsid w:val="00187445"/>
    <w:rsid w:val="001970FD"/>
    <w:rsid w:val="001B54A3"/>
    <w:rsid w:val="001D065F"/>
    <w:rsid w:val="001D2836"/>
    <w:rsid w:val="001F0E61"/>
    <w:rsid w:val="00200D8F"/>
    <w:rsid w:val="002025D9"/>
    <w:rsid w:val="002033A2"/>
    <w:rsid w:val="0020345D"/>
    <w:rsid w:val="00217EE6"/>
    <w:rsid w:val="00220E78"/>
    <w:rsid w:val="002722AA"/>
    <w:rsid w:val="002961B3"/>
    <w:rsid w:val="00296978"/>
    <w:rsid w:val="002A486D"/>
    <w:rsid w:val="002A5393"/>
    <w:rsid w:val="00325407"/>
    <w:rsid w:val="00346F88"/>
    <w:rsid w:val="00391A2F"/>
    <w:rsid w:val="00394B69"/>
    <w:rsid w:val="003C56EB"/>
    <w:rsid w:val="003D2D94"/>
    <w:rsid w:val="003D3FBF"/>
    <w:rsid w:val="00421735"/>
    <w:rsid w:val="00451491"/>
    <w:rsid w:val="004576E0"/>
    <w:rsid w:val="00464611"/>
    <w:rsid w:val="004960EC"/>
    <w:rsid w:val="004A35B1"/>
    <w:rsid w:val="004A486E"/>
    <w:rsid w:val="004D0614"/>
    <w:rsid w:val="004D7079"/>
    <w:rsid w:val="004E13CC"/>
    <w:rsid w:val="005000F3"/>
    <w:rsid w:val="005127D1"/>
    <w:rsid w:val="005448A2"/>
    <w:rsid w:val="0054506E"/>
    <w:rsid w:val="00556F1E"/>
    <w:rsid w:val="005669E9"/>
    <w:rsid w:val="005746AD"/>
    <w:rsid w:val="005923B7"/>
    <w:rsid w:val="005D788E"/>
    <w:rsid w:val="00651F1C"/>
    <w:rsid w:val="00653ECE"/>
    <w:rsid w:val="006544BE"/>
    <w:rsid w:val="006631B9"/>
    <w:rsid w:val="006B51D7"/>
    <w:rsid w:val="006E0F86"/>
    <w:rsid w:val="006E751F"/>
    <w:rsid w:val="00701D25"/>
    <w:rsid w:val="0070714B"/>
    <w:rsid w:val="0071779E"/>
    <w:rsid w:val="00744781"/>
    <w:rsid w:val="007542AA"/>
    <w:rsid w:val="0077614B"/>
    <w:rsid w:val="00782FF4"/>
    <w:rsid w:val="00795B1D"/>
    <w:rsid w:val="007C2A09"/>
    <w:rsid w:val="007F178F"/>
    <w:rsid w:val="0081735D"/>
    <w:rsid w:val="008645D3"/>
    <w:rsid w:val="00895D06"/>
    <w:rsid w:val="008B2974"/>
    <w:rsid w:val="008B7068"/>
    <w:rsid w:val="008C2633"/>
    <w:rsid w:val="008C62C1"/>
    <w:rsid w:val="008D187D"/>
    <w:rsid w:val="00952AB1"/>
    <w:rsid w:val="00952D5D"/>
    <w:rsid w:val="009A3701"/>
    <w:rsid w:val="009A4EF1"/>
    <w:rsid w:val="009C5E9F"/>
    <w:rsid w:val="009D0B5F"/>
    <w:rsid w:val="00A16CBD"/>
    <w:rsid w:val="00A20CA6"/>
    <w:rsid w:val="00A61602"/>
    <w:rsid w:val="00AB3D7A"/>
    <w:rsid w:val="00AC2BC3"/>
    <w:rsid w:val="00AE67D8"/>
    <w:rsid w:val="00B2275F"/>
    <w:rsid w:val="00B35D0E"/>
    <w:rsid w:val="00B541FD"/>
    <w:rsid w:val="00B83BF8"/>
    <w:rsid w:val="00BD0DD7"/>
    <w:rsid w:val="00BE375B"/>
    <w:rsid w:val="00C332C9"/>
    <w:rsid w:val="00C52FEB"/>
    <w:rsid w:val="00C70CE5"/>
    <w:rsid w:val="00C8632E"/>
    <w:rsid w:val="00CA62BD"/>
    <w:rsid w:val="00CB7433"/>
    <w:rsid w:val="00CE28B0"/>
    <w:rsid w:val="00D02964"/>
    <w:rsid w:val="00D541B5"/>
    <w:rsid w:val="00D56C5F"/>
    <w:rsid w:val="00D852D2"/>
    <w:rsid w:val="00DB51E5"/>
    <w:rsid w:val="00E07023"/>
    <w:rsid w:val="00E26202"/>
    <w:rsid w:val="00E37503"/>
    <w:rsid w:val="00E47D95"/>
    <w:rsid w:val="00E60905"/>
    <w:rsid w:val="00E65823"/>
    <w:rsid w:val="00E73A86"/>
    <w:rsid w:val="00E821E7"/>
    <w:rsid w:val="00E90467"/>
    <w:rsid w:val="00E9068A"/>
    <w:rsid w:val="00EB19B8"/>
    <w:rsid w:val="00EB6BD1"/>
    <w:rsid w:val="00F11328"/>
    <w:rsid w:val="00F13619"/>
    <w:rsid w:val="00F14CF6"/>
    <w:rsid w:val="00F2113E"/>
    <w:rsid w:val="00F569A4"/>
    <w:rsid w:val="00F642EE"/>
    <w:rsid w:val="00F96B3D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D4A1E"/>
  <w14:defaultImageDpi w14:val="32767"/>
  <w15:chartTrackingRefBased/>
  <w15:docId w15:val="{C6FA0BA9-65D9-D94A-AB58-C4BD30A2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4A"/>
  </w:style>
  <w:style w:type="paragraph" w:styleId="Footer">
    <w:name w:val="footer"/>
    <w:basedOn w:val="Normal"/>
    <w:link w:val="FooterChar"/>
    <w:uiPriority w:val="99"/>
    <w:unhideWhenUsed/>
    <w:rsid w:val="000E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4A"/>
  </w:style>
  <w:style w:type="paragraph" w:customStyle="1" w:styleId="EndNoteBibliographyTitle">
    <w:name w:val="EndNote Bibliography Title"/>
    <w:basedOn w:val="Normal"/>
    <w:link w:val="EndNoteBibliographyTitleChar"/>
    <w:rsid w:val="001F0E61"/>
    <w:pPr>
      <w:jc w:val="center"/>
    </w:pPr>
    <w:rPr>
      <w:rFonts w:ascii="Calibri" w:hAnsi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0E61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1F0E61"/>
    <w:rPr>
      <w:rFonts w:ascii="Calibri" w:hAnsi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F0E6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San Diego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K. Naviaux</dc:creator>
  <cp:keywords/>
  <dc:description/>
  <cp:lastModifiedBy>Diane Shelton</cp:lastModifiedBy>
  <cp:revision>11</cp:revision>
  <dcterms:created xsi:type="dcterms:W3CDTF">2019-08-19T16:57:00Z</dcterms:created>
  <dcterms:modified xsi:type="dcterms:W3CDTF">2019-09-05T14:35:00Z</dcterms:modified>
</cp:coreProperties>
</file>