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06C1B" w14:textId="77777777" w:rsidR="00C1078A" w:rsidRPr="00C1078A" w:rsidRDefault="00C1078A" w:rsidP="0085116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1078A">
        <w:rPr>
          <w:rFonts w:ascii="Times New Roman" w:hAnsi="Times New Roman" w:cs="Times New Roman"/>
          <w:b/>
          <w:sz w:val="40"/>
          <w:szCs w:val="40"/>
        </w:rPr>
        <w:t>Supplementary Material</w:t>
      </w:r>
    </w:p>
    <w:p w14:paraId="09864EA6" w14:textId="77777777" w:rsidR="00C1078A" w:rsidRDefault="00C1078A" w:rsidP="0085116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74DDEA9" w14:textId="57203461" w:rsidR="00C1078A" w:rsidRDefault="00C1078A" w:rsidP="0085116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  <w:r w:rsidRPr="00C1078A">
        <w:rPr>
          <w:rFonts w:ascii="Times New Roman" w:hAnsi="Times New Roman" w:cs="Times New Roman"/>
          <w:b/>
        </w:rPr>
        <w:t>Secondary Stroke Prevention After Ischemic Stroke in Patients with Alzheimer’s Disease and Other Dementia Disorders</w:t>
      </w:r>
    </w:p>
    <w:p w14:paraId="08D48E36" w14:textId="77777777" w:rsidR="00C1078A" w:rsidRDefault="00C1078A" w:rsidP="0085116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06FE688" w14:textId="77777777" w:rsidR="00C1078A" w:rsidRDefault="00C1078A" w:rsidP="0085116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083EEE1" w14:textId="77777777" w:rsidR="00C1078A" w:rsidRDefault="00C1078A" w:rsidP="0085116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83EC46C" w14:textId="2163B2F1" w:rsidR="006A65D3" w:rsidRPr="00822BFB" w:rsidRDefault="006A65D3" w:rsidP="0085116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822BFB">
        <w:rPr>
          <w:rFonts w:ascii="Times New Roman" w:hAnsi="Times New Roman" w:cs="Times New Roman"/>
          <w:b/>
        </w:rPr>
        <w:t xml:space="preserve">Supplementary </w:t>
      </w:r>
      <w:r w:rsidR="00822BFB">
        <w:rPr>
          <w:rFonts w:ascii="Times New Roman" w:hAnsi="Times New Roman" w:cs="Times New Roman"/>
          <w:b/>
        </w:rPr>
        <w:t>T</w:t>
      </w:r>
      <w:r w:rsidRPr="00822BFB">
        <w:rPr>
          <w:rFonts w:ascii="Times New Roman" w:hAnsi="Times New Roman" w:cs="Times New Roman"/>
          <w:b/>
        </w:rPr>
        <w:t>able 1</w:t>
      </w:r>
      <w:r w:rsidR="00822BFB">
        <w:rPr>
          <w:rFonts w:ascii="Times New Roman" w:hAnsi="Times New Roman" w:cs="Times New Roman"/>
          <w:b/>
        </w:rPr>
        <w:t>.</w:t>
      </w:r>
      <w:r w:rsidRPr="00822BFB">
        <w:rPr>
          <w:rFonts w:ascii="Times New Roman" w:hAnsi="Times New Roman" w:cs="Times New Roman"/>
        </w:rPr>
        <w:t xml:space="preserve"> Secondary stroke </w:t>
      </w:r>
      <w:r w:rsidR="0070401A" w:rsidRPr="00822BFB">
        <w:rPr>
          <w:rFonts w:ascii="Times New Roman" w:hAnsi="Times New Roman" w:cs="Times New Roman"/>
        </w:rPr>
        <w:t xml:space="preserve">prevention </w:t>
      </w:r>
      <w:r w:rsidRPr="00822BFB">
        <w:rPr>
          <w:rFonts w:ascii="Times New Roman" w:hAnsi="Times New Roman" w:cs="Times New Roman"/>
        </w:rPr>
        <w:t>in dementia subtypes prior to stroke and at discharge</w:t>
      </w:r>
      <w:r w:rsidR="0070401A" w:rsidRPr="00822BFB">
        <w:rPr>
          <w:rFonts w:ascii="Times New Roman" w:hAnsi="Times New Roman" w:cs="Times New Roman"/>
        </w:rPr>
        <w:t xml:space="preserve"> from hospital</w:t>
      </w:r>
    </w:p>
    <w:tbl>
      <w:tblPr>
        <w:tblStyle w:val="TableGrid"/>
        <w:tblW w:w="11700" w:type="dxa"/>
        <w:tblLayout w:type="fixed"/>
        <w:tblLook w:val="04A0" w:firstRow="1" w:lastRow="0" w:firstColumn="1" w:lastColumn="0" w:noHBand="0" w:noVBand="1"/>
      </w:tblPr>
      <w:tblGrid>
        <w:gridCol w:w="1980"/>
        <w:gridCol w:w="1019"/>
        <w:gridCol w:w="1020"/>
        <w:gridCol w:w="1020"/>
        <w:gridCol w:w="1020"/>
        <w:gridCol w:w="781"/>
        <w:gridCol w:w="1020"/>
        <w:gridCol w:w="1020"/>
        <w:gridCol w:w="1020"/>
        <w:gridCol w:w="1020"/>
        <w:gridCol w:w="780"/>
      </w:tblGrid>
      <w:tr w:rsidR="00912D83" w:rsidRPr="00073A39" w14:paraId="24BDD072" w14:textId="77777777" w:rsidTr="00912D8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41F3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327F919" w14:textId="0278E009" w:rsidR="006A65D3" w:rsidRPr="00912D83" w:rsidRDefault="00912D8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Prior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 Stroke 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8BE430" w14:textId="7BBE255B" w:rsidR="006A65D3" w:rsidRPr="00912D83" w:rsidRDefault="00912D8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Initiation Planned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 Discharge</w:t>
            </w:r>
          </w:p>
        </w:tc>
      </w:tr>
      <w:tr w:rsidR="00912D83" w:rsidRPr="00073A39" w14:paraId="1B06F4D6" w14:textId="77777777" w:rsidTr="00912D83"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0F26914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2" w:space="0" w:color="auto"/>
            </w:tcBorders>
          </w:tcPr>
          <w:p w14:paraId="0EB5D892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 n=332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71420445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Mixed n=332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0CAAC3DB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Vascular n=325 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0E28548B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All other n=421</w:t>
            </w:r>
          </w:p>
        </w:tc>
        <w:tc>
          <w:tcPr>
            <w:tcW w:w="781" w:type="dxa"/>
            <w:tcBorders>
              <w:bottom w:val="single" w:sz="12" w:space="0" w:color="auto"/>
              <w:right w:val="single" w:sz="12" w:space="0" w:color="auto"/>
            </w:tcBorders>
          </w:tcPr>
          <w:p w14:paraId="3C4023E0" w14:textId="43B3947E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</w:tcPr>
          <w:p w14:paraId="03AD17E1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AD </w:t>
            </w: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  <w:t>n=300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2279BB80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Mixed</w:t>
            </w: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  <w:t>n=288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331AF026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Vascular </w:t>
            </w: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  <w:t>n=280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2B7BA2B2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All other</w:t>
            </w: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  <w:t>n=373</w:t>
            </w:r>
          </w:p>
        </w:tc>
        <w:tc>
          <w:tcPr>
            <w:tcW w:w="780" w:type="dxa"/>
            <w:tcBorders>
              <w:bottom w:val="single" w:sz="12" w:space="0" w:color="auto"/>
              <w:right w:val="single" w:sz="12" w:space="0" w:color="auto"/>
            </w:tcBorders>
          </w:tcPr>
          <w:p w14:paraId="411D45AE" w14:textId="3484B181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</w:tr>
      <w:tr w:rsidR="00912D83" w:rsidRPr="00073A39" w14:paraId="1DB9B5CF" w14:textId="77777777" w:rsidTr="00912D83"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B7A4C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Age, mean (SD)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BFBD88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82 (6.7)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6D110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83 (5.5)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521F37AA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  <w:t>82 (7.1)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12A76155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  <w:t>83 (6.7)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DB4EC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  <w:t>0.057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2A0AB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82 (6.8)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A9F48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83 (5.5)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1C3D5ADC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  <w:t>81 (7.1)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78D36B42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sz w:val="19"/>
                <w:szCs w:val="19"/>
                <w:lang w:val="en-US"/>
              </w:rPr>
              <w:t>83 (6.7)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6ABCD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val="en-US"/>
              </w:rPr>
              <w:t>0.002</w:t>
            </w:r>
            <w:r w:rsidRPr="00912D83">
              <w:rPr>
                <w:rFonts w:ascii="Times New Roman" w:hAnsi="Times New Roman" w:cs="Times New Roman"/>
                <w:bCs/>
                <w:iCs/>
                <w:sz w:val="19"/>
                <w:szCs w:val="19"/>
                <w:vertAlign w:val="superscript"/>
                <w:lang w:val="en-US"/>
              </w:rPr>
              <w:t xml:space="preserve"> </w:t>
            </w:r>
          </w:p>
        </w:tc>
      </w:tr>
      <w:tr w:rsidR="00912D83" w:rsidRPr="00073A39" w14:paraId="4C2CA3E5" w14:textId="77777777" w:rsidTr="00912D83"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093F9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Female sex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9A620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210 (63.3)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6FE68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180 (54.2)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7AFA9B18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  <w:t>158 (48.6)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7B1CD436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  <w:t>247 (58.7)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61C6C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iCs/>
                <w:color w:val="000000"/>
                <w:sz w:val="19"/>
                <w:szCs w:val="19"/>
                <w:lang w:val="en-US"/>
              </w:rPr>
              <w:t>0.001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7D1801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190 (63.3)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E9DC1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154 (53.5)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76C6C236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  <w:t>131 (46.8)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42158E4C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  <w:t>218 (58.4)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0DD0A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iCs/>
                <w:color w:val="000000"/>
                <w:sz w:val="19"/>
                <w:szCs w:val="19"/>
                <w:lang w:val="en-US"/>
              </w:rPr>
              <w:t>&lt;0.001</w:t>
            </w:r>
          </w:p>
        </w:tc>
      </w:tr>
      <w:tr w:rsidR="00912D83" w:rsidRPr="00073A39" w14:paraId="4B14C11B" w14:textId="77777777" w:rsidTr="00912D83">
        <w:tc>
          <w:tcPr>
            <w:tcW w:w="1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86B2B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Antiplatelets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544ECD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133 (40.1)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5FE3D2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177 (53.3)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</w:tcPr>
          <w:p w14:paraId="27B39E7F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169 (52.0)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</w:tcPr>
          <w:p w14:paraId="30D4323F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195 (46.3)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878FF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bCs/>
                <w:iCs/>
                <w:color w:val="000000"/>
                <w:sz w:val="19"/>
                <w:szCs w:val="19"/>
                <w:lang w:val="en-US"/>
              </w:rPr>
              <w:t>0.002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66ADE0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230 (77.4)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2918AE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222 (77.6)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</w:tcPr>
          <w:p w14:paraId="50A4AECA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203 (73.0)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</w:tcPr>
          <w:p w14:paraId="58D264A8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297 (80.9)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C62BE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0.129</w:t>
            </w:r>
          </w:p>
        </w:tc>
      </w:tr>
      <w:tr w:rsidR="00912D83" w:rsidRPr="00073A39" w14:paraId="6751FF91" w14:textId="77777777" w:rsidTr="00912D8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0F77B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     in AF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631F3F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56 (60.9)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28D94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78 (60.9)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AEE2A7F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69 (55.2)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DE15222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69 (51.9)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8AFE6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0.398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210AAF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54 (55.7)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3A648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68 (58.1)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D2ECF4D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50 (50.5)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7D3B131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72 (60.5)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14DC9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0.498</w:t>
            </w:r>
          </w:p>
        </w:tc>
      </w:tr>
      <w:tr w:rsidR="00912D83" w:rsidRPr="00073A39" w14:paraId="59310ABE" w14:textId="77777777" w:rsidTr="00912D83"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5EED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     in non-AF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34909A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77 (32.1)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9C2A00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99 (48.5)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14:paraId="79043BD5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100 (50.0)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14:paraId="3278418E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126 (43.8)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7C312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bCs/>
                <w:iCs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36540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176 (88.0)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D02EAE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154 (91.1)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14:paraId="339B8860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151 (85.3)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14:paraId="70CBA96F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225 (90.7)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FEA01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0.244</w:t>
            </w:r>
          </w:p>
        </w:tc>
      </w:tr>
      <w:tr w:rsidR="00912D83" w:rsidRPr="00073A39" w14:paraId="16086B90" w14:textId="77777777" w:rsidTr="00912D83"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607D2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Anticoagulants in AF 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16D33D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11 (12.0)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29DBC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17 (13.3)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5D59EF37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19 (15.2)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5E3AFA7A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13 (9.8)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810EF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0.610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9E68E8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34 (35.1)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2B5C14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31 (26.7)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1F785644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41 (41.8)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669230DD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26 (21.8)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9770A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bCs/>
                <w:iCs/>
                <w:color w:val="000000"/>
                <w:sz w:val="19"/>
                <w:szCs w:val="19"/>
                <w:lang w:val="en-US"/>
              </w:rPr>
              <w:t>0.008</w:t>
            </w:r>
          </w:p>
        </w:tc>
      </w:tr>
      <w:tr w:rsidR="00912D83" w:rsidRPr="00073A39" w14:paraId="521E25C6" w14:textId="77777777" w:rsidTr="00912D83"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33E3D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BPLM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479C93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197 (59.3)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E9B40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214 (64.5)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11A6DD04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  <w:t>242 (74.5)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4979922F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  <w:t>277 (65.8)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9E399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iCs/>
                <w:color w:val="000000"/>
                <w:sz w:val="19"/>
                <w:szCs w:val="19"/>
                <w:lang w:val="en-US"/>
              </w:rPr>
              <w:t>0.001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CD4C35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202 (68.2)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16F1C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197 (68.9)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4140678E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233 (83.8)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5ED17904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265 (72.2)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C84C4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iCs/>
                <w:color w:val="000000"/>
                <w:sz w:val="19"/>
                <w:szCs w:val="19"/>
                <w:lang w:val="en-US"/>
              </w:rPr>
              <w:t>&lt;0.001</w:t>
            </w:r>
          </w:p>
        </w:tc>
      </w:tr>
      <w:tr w:rsidR="00912D83" w:rsidRPr="00073A39" w14:paraId="57675E43" w14:textId="77777777" w:rsidTr="00912D83"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BFD36" w14:textId="77777777" w:rsidR="006A65D3" w:rsidRPr="00912D83" w:rsidRDefault="006A65D3" w:rsidP="00912D83">
            <w:pPr>
              <w:tabs>
                <w:tab w:val="left" w:pos="360"/>
              </w:tabs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Statins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4DEA1E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56 (16.9)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B5125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59 (17.8)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7B04E6E2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  <w:t>70 (21.5)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061A6244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  <w:t>74 (17.6)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8F6A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  <w:lang w:val="en-US"/>
              </w:rPr>
              <w:t>0.402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E29EA3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134 (45.3)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CB7D8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127 (44.4)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4955B122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126 (45.5)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7779531E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153 (41.7)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6AA13" w14:textId="77777777" w:rsidR="006A65D3" w:rsidRPr="00912D83" w:rsidRDefault="006A65D3" w:rsidP="00912D8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</w:pPr>
            <w:r w:rsidRPr="00912D83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  <w:lang w:val="en-US"/>
              </w:rPr>
              <w:t>0.740</w:t>
            </w:r>
          </w:p>
        </w:tc>
      </w:tr>
    </w:tbl>
    <w:p w14:paraId="79B4C401" w14:textId="60949E66" w:rsidR="006A65D3" w:rsidRPr="00073A39" w:rsidRDefault="006A65D3" w:rsidP="0085116A">
      <w:pPr>
        <w:tabs>
          <w:tab w:val="left" w:pos="360"/>
        </w:tabs>
        <w:spacing w:after="0" w:line="240" w:lineRule="auto"/>
        <w:rPr>
          <w:bCs/>
          <w:iCs/>
          <w:sz w:val="19"/>
          <w:szCs w:val="19"/>
          <w:vertAlign w:val="superscript"/>
        </w:rPr>
      </w:pPr>
      <w:r w:rsidRPr="00073A39">
        <w:rPr>
          <w:rFonts w:ascii="Times New Roman" w:hAnsi="Times New Roman" w:cs="Times New Roman"/>
          <w:sz w:val="20"/>
          <w:szCs w:val="20"/>
        </w:rPr>
        <w:t>Data are represented as number of cases (n) and percentage proportion (%), if not stated otherwise. In variables where n (%) are reported, p-values were obtained by chi-square, whereas in variables where mean (SD) are reported, p-values were obtained by ANOVA.</w:t>
      </w:r>
      <w:r w:rsidRPr="00073A39">
        <w:rPr>
          <w:rFonts w:ascii="Times New Roman" w:hAnsi="Times New Roman" w:cs="Times New Roman"/>
          <w:sz w:val="20"/>
          <w:szCs w:val="20"/>
        </w:rPr>
        <w:br/>
        <w:t xml:space="preserve">Patients who did not survive until the follow-up are excluded. Therapy was registered if a patient collected at least one prescription from the pharmacy in the </w:t>
      </w:r>
      <w:r w:rsidR="00822BFB" w:rsidRPr="00073A39">
        <w:rPr>
          <w:rFonts w:ascii="Times New Roman" w:hAnsi="Times New Roman" w:cs="Times New Roman"/>
          <w:sz w:val="20"/>
          <w:szCs w:val="20"/>
        </w:rPr>
        <w:t>6-month</w:t>
      </w:r>
      <w:r w:rsidRPr="00073A39">
        <w:rPr>
          <w:rFonts w:ascii="Times New Roman" w:hAnsi="Times New Roman" w:cs="Times New Roman"/>
          <w:sz w:val="20"/>
          <w:szCs w:val="20"/>
        </w:rPr>
        <w:t xml:space="preserve"> period before the stroke, or 1</w:t>
      </w:r>
      <w:r w:rsidRPr="00073A3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73A39">
        <w:rPr>
          <w:rFonts w:ascii="Times New Roman" w:hAnsi="Times New Roman" w:cs="Times New Roman"/>
          <w:sz w:val="20"/>
          <w:szCs w:val="20"/>
        </w:rPr>
        <w:t>, 2</w:t>
      </w:r>
      <w:r w:rsidRPr="00073A39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073A39">
        <w:rPr>
          <w:rFonts w:ascii="Times New Roman" w:hAnsi="Times New Roman" w:cs="Times New Roman"/>
          <w:sz w:val="20"/>
          <w:szCs w:val="20"/>
        </w:rPr>
        <w:t>, and 3</w:t>
      </w:r>
      <w:r w:rsidRPr="00073A39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073A39">
        <w:rPr>
          <w:rFonts w:ascii="Times New Roman" w:hAnsi="Times New Roman" w:cs="Times New Roman"/>
          <w:sz w:val="20"/>
          <w:szCs w:val="20"/>
        </w:rPr>
        <w:t xml:space="preserve"> year after stroke event.</w:t>
      </w:r>
      <w:r w:rsidRPr="00073A39">
        <w:rPr>
          <w:rFonts w:ascii="Times New Roman" w:hAnsi="Times New Roman" w:cs="Times New Roman"/>
          <w:sz w:val="20"/>
          <w:szCs w:val="20"/>
        </w:rPr>
        <w:br/>
      </w:r>
      <w:r w:rsidR="00073A39">
        <w:rPr>
          <w:rFonts w:ascii="Times New Roman" w:hAnsi="Times New Roman" w:cs="Times New Roman"/>
          <w:sz w:val="20"/>
          <w:szCs w:val="20"/>
        </w:rPr>
        <w:t>AD</w:t>
      </w:r>
      <w:r w:rsidR="00822BFB">
        <w:rPr>
          <w:rFonts w:ascii="Times New Roman" w:hAnsi="Times New Roman" w:cs="Times New Roman"/>
          <w:sz w:val="20"/>
          <w:szCs w:val="20"/>
        </w:rPr>
        <w:t xml:space="preserve">, </w:t>
      </w:r>
      <w:r w:rsidR="00073A39">
        <w:rPr>
          <w:rFonts w:ascii="Times New Roman" w:hAnsi="Times New Roman" w:cs="Times New Roman"/>
          <w:sz w:val="20"/>
          <w:szCs w:val="20"/>
        </w:rPr>
        <w:t>Alzheimer’s disease</w:t>
      </w:r>
      <w:r w:rsidRPr="00073A39">
        <w:rPr>
          <w:rFonts w:ascii="Times New Roman" w:hAnsi="Times New Roman" w:cs="Times New Roman"/>
          <w:sz w:val="20"/>
          <w:szCs w:val="20"/>
        </w:rPr>
        <w:t>; Mixed</w:t>
      </w:r>
      <w:r w:rsidR="00822BFB">
        <w:rPr>
          <w:rFonts w:ascii="Times New Roman" w:hAnsi="Times New Roman" w:cs="Times New Roman"/>
          <w:sz w:val="20"/>
          <w:szCs w:val="20"/>
        </w:rPr>
        <w:t xml:space="preserve">, </w:t>
      </w:r>
      <w:r w:rsidRPr="00073A39">
        <w:rPr>
          <w:rFonts w:ascii="Times New Roman" w:hAnsi="Times New Roman" w:cs="Times New Roman"/>
          <w:sz w:val="20"/>
          <w:szCs w:val="20"/>
        </w:rPr>
        <w:t>mixed dementia; Vascular</w:t>
      </w:r>
      <w:r w:rsidR="00822BFB">
        <w:rPr>
          <w:rFonts w:ascii="Times New Roman" w:hAnsi="Times New Roman" w:cs="Times New Roman"/>
          <w:sz w:val="20"/>
          <w:szCs w:val="20"/>
        </w:rPr>
        <w:t xml:space="preserve">, </w:t>
      </w:r>
      <w:r w:rsidRPr="00073A39">
        <w:rPr>
          <w:rFonts w:ascii="Times New Roman" w:hAnsi="Times New Roman" w:cs="Times New Roman"/>
          <w:sz w:val="20"/>
          <w:szCs w:val="20"/>
        </w:rPr>
        <w:t>vascular dementia;</w:t>
      </w:r>
      <w:r w:rsidRPr="00073A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3A39">
        <w:rPr>
          <w:rFonts w:ascii="Times New Roman" w:hAnsi="Times New Roman" w:cs="Times New Roman"/>
          <w:sz w:val="20"/>
          <w:szCs w:val="20"/>
        </w:rPr>
        <w:t>BPLM</w:t>
      </w:r>
      <w:r w:rsidR="00822BFB">
        <w:rPr>
          <w:rFonts w:ascii="Times New Roman" w:hAnsi="Times New Roman" w:cs="Times New Roman"/>
          <w:sz w:val="20"/>
          <w:szCs w:val="20"/>
        </w:rPr>
        <w:t xml:space="preserve">, </w:t>
      </w:r>
      <w:r w:rsidRPr="00073A39">
        <w:rPr>
          <w:rFonts w:ascii="Times New Roman" w:hAnsi="Times New Roman" w:cs="Times New Roman"/>
          <w:sz w:val="20"/>
          <w:szCs w:val="20"/>
        </w:rPr>
        <w:t>blood pressure lowering medication; AF</w:t>
      </w:r>
      <w:r w:rsidR="00822BFB">
        <w:rPr>
          <w:rFonts w:ascii="Times New Roman" w:hAnsi="Times New Roman" w:cs="Times New Roman"/>
          <w:sz w:val="20"/>
          <w:szCs w:val="20"/>
        </w:rPr>
        <w:t xml:space="preserve">, </w:t>
      </w:r>
      <w:r w:rsidRPr="00073A39">
        <w:rPr>
          <w:rFonts w:ascii="Times New Roman" w:hAnsi="Times New Roman" w:cs="Times New Roman"/>
          <w:sz w:val="20"/>
          <w:szCs w:val="20"/>
        </w:rPr>
        <w:t>atrial fibrillation</w:t>
      </w:r>
      <w:r w:rsidRPr="00073A39">
        <w:rPr>
          <w:rFonts w:ascii="Times New Roman" w:hAnsi="Times New Roman" w:cs="Times New Roman"/>
          <w:sz w:val="20"/>
          <w:szCs w:val="20"/>
        </w:rPr>
        <w:br/>
      </w:r>
    </w:p>
    <w:p w14:paraId="26D04F67" w14:textId="77777777" w:rsidR="006A65D3" w:rsidRPr="00073A39" w:rsidRDefault="006A65D3" w:rsidP="0085116A">
      <w:pPr>
        <w:tabs>
          <w:tab w:val="left" w:pos="360"/>
        </w:tabs>
        <w:spacing w:after="0" w:line="240" w:lineRule="auto"/>
      </w:pPr>
    </w:p>
    <w:p w14:paraId="2082F1C5" w14:textId="77777777" w:rsidR="006A65D3" w:rsidRPr="00073A39" w:rsidRDefault="006A65D3" w:rsidP="0085116A">
      <w:pPr>
        <w:tabs>
          <w:tab w:val="left" w:pos="360"/>
        </w:tabs>
        <w:spacing w:after="0" w:line="240" w:lineRule="auto"/>
      </w:pPr>
    </w:p>
    <w:p w14:paraId="5A81D3C1" w14:textId="77777777" w:rsidR="006A65D3" w:rsidRPr="00073A39" w:rsidRDefault="006A65D3" w:rsidP="0085116A">
      <w:pPr>
        <w:tabs>
          <w:tab w:val="left" w:pos="360"/>
        </w:tabs>
        <w:spacing w:after="0" w:line="240" w:lineRule="auto"/>
      </w:pPr>
      <w:r w:rsidRPr="00073A39">
        <w:br w:type="page"/>
      </w:r>
    </w:p>
    <w:p w14:paraId="41A56E00" w14:textId="578265C2" w:rsidR="006A65D3" w:rsidRPr="00822BFB" w:rsidRDefault="00822BFB" w:rsidP="0085116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Supplementary T</w:t>
      </w:r>
      <w:r w:rsidR="006A65D3" w:rsidRPr="00822BFB">
        <w:rPr>
          <w:rFonts w:ascii="Times New Roman" w:hAnsi="Times New Roman" w:cs="Times New Roman"/>
          <w:b/>
        </w:rPr>
        <w:t>able 2</w:t>
      </w:r>
      <w:r>
        <w:rPr>
          <w:rFonts w:ascii="Times New Roman" w:hAnsi="Times New Roman" w:cs="Times New Roman"/>
          <w:b/>
        </w:rPr>
        <w:t>.</w:t>
      </w:r>
      <w:r w:rsidR="006A65D3" w:rsidRPr="00822BFB">
        <w:rPr>
          <w:rFonts w:ascii="Times New Roman" w:hAnsi="Times New Roman" w:cs="Times New Roman"/>
        </w:rPr>
        <w:t xml:space="preserve"> Secondary stroke prevention in dementia subtypes 1</w:t>
      </w:r>
      <w:r w:rsidR="006A65D3" w:rsidRPr="00822BFB">
        <w:rPr>
          <w:rFonts w:ascii="Times New Roman" w:hAnsi="Times New Roman" w:cs="Times New Roman"/>
          <w:vertAlign w:val="superscript"/>
        </w:rPr>
        <w:t>st</w:t>
      </w:r>
      <w:r w:rsidR="006A65D3" w:rsidRPr="00822BFB">
        <w:rPr>
          <w:rFonts w:ascii="Times New Roman" w:hAnsi="Times New Roman" w:cs="Times New Roman"/>
        </w:rPr>
        <w:t>, 2</w:t>
      </w:r>
      <w:r w:rsidR="006A65D3" w:rsidRPr="00822BFB">
        <w:rPr>
          <w:rFonts w:ascii="Times New Roman" w:hAnsi="Times New Roman" w:cs="Times New Roman"/>
          <w:vertAlign w:val="superscript"/>
        </w:rPr>
        <w:t>nd</w:t>
      </w:r>
      <w:r w:rsidR="00C1078A">
        <w:rPr>
          <w:rFonts w:ascii="Times New Roman" w:hAnsi="Times New Roman" w:cs="Times New Roman"/>
        </w:rPr>
        <w:t xml:space="preserve">, </w:t>
      </w:r>
      <w:r w:rsidR="006A65D3" w:rsidRPr="00822BFB">
        <w:rPr>
          <w:rFonts w:ascii="Times New Roman" w:hAnsi="Times New Roman" w:cs="Times New Roman"/>
        </w:rPr>
        <w:t>and 3</w:t>
      </w:r>
      <w:r w:rsidR="006A65D3" w:rsidRPr="00822BFB">
        <w:rPr>
          <w:rFonts w:ascii="Times New Roman" w:hAnsi="Times New Roman" w:cs="Times New Roman"/>
          <w:vertAlign w:val="superscript"/>
        </w:rPr>
        <w:t>rd</w:t>
      </w:r>
      <w:r w:rsidR="006A65D3" w:rsidRPr="00822BFB">
        <w:rPr>
          <w:rFonts w:ascii="Times New Roman" w:hAnsi="Times New Roman" w:cs="Times New Roman"/>
        </w:rPr>
        <w:t xml:space="preserve"> year after stroke</w:t>
      </w:r>
    </w:p>
    <w:tbl>
      <w:tblPr>
        <w:tblStyle w:val="TableGrid"/>
        <w:tblW w:w="13410" w:type="dxa"/>
        <w:tblLayout w:type="fixed"/>
        <w:tblLook w:val="04A0" w:firstRow="1" w:lastRow="0" w:firstColumn="1" w:lastColumn="0" w:noHBand="0" w:noVBand="1"/>
      </w:tblPr>
      <w:tblGrid>
        <w:gridCol w:w="1710"/>
        <w:gridCol w:w="720"/>
        <w:gridCol w:w="720"/>
        <w:gridCol w:w="900"/>
        <w:gridCol w:w="900"/>
        <w:gridCol w:w="720"/>
        <w:gridCol w:w="720"/>
        <w:gridCol w:w="720"/>
        <w:gridCol w:w="900"/>
        <w:gridCol w:w="900"/>
        <w:gridCol w:w="630"/>
        <w:gridCol w:w="630"/>
        <w:gridCol w:w="720"/>
        <w:gridCol w:w="900"/>
        <w:gridCol w:w="900"/>
        <w:gridCol w:w="720"/>
      </w:tblGrid>
      <w:tr w:rsidR="00C7366D" w:rsidRPr="00822BFB" w14:paraId="1A6723E3" w14:textId="77777777" w:rsidTr="00C7366D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9DC82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0D06ED" w14:textId="014D6A16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="00822BFB"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Year Post-Stroke</w:t>
            </w:r>
          </w:p>
        </w:tc>
        <w:tc>
          <w:tcPr>
            <w:tcW w:w="38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CF5F35" w14:textId="2BA15181" w:rsidR="006A65D3" w:rsidRPr="00822BFB" w:rsidRDefault="00822BFB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2-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Years Post-Stroke</w:t>
            </w:r>
          </w:p>
        </w:tc>
        <w:tc>
          <w:tcPr>
            <w:tcW w:w="387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C844C13" w14:textId="651E39E3" w:rsidR="006A65D3" w:rsidRPr="00822BFB" w:rsidRDefault="00822BFB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3-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Years Post-Stroke</w:t>
            </w:r>
          </w:p>
        </w:tc>
      </w:tr>
      <w:tr w:rsidR="00C7366D" w:rsidRPr="00822BFB" w14:paraId="6B7848FD" w14:textId="77777777" w:rsidTr="00C7366D"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1D86AAC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66810C98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AD 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n=216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FCD0154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Mixed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n=194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6B8E9C0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Vascular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 xml:space="preserve">n=209 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EEC5CDE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All other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n=270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3CB37CB4" w14:textId="537E5E54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4CC3C6E1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AD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 xml:space="preserve">n=131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DB17624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Mixed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n=117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C0DF2BB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Vascular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 xml:space="preserve">n=119 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E25DDDA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All other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n=156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14:paraId="3DBCE005" w14:textId="2C527E56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14:paraId="11EAE1FB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AD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 xml:space="preserve">n=65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AEC1C91" w14:textId="20B9E5F3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Mixed</w:t>
            </w:r>
            <w:r w:rsidR="00C7366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n=56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F10E454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Vascular 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n=63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6145BE2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All other</w:t>
            </w: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n=83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</w:tcPr>
          <w:p w14:paraId="6615C01F" w14:textId="034B3A78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</w:tr>
      <w:tr w:rsidR="00C7366D" w:rsidRPr="00822BFB" w14:paraId="27721BA3" w14:textId="77777777" w:rsidTr="00C7366D"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5090D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Age, mean (SD)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88E401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 (6.9)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FE19D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 (5.5)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45C7D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81</w:t>
            </w:r>
          </w:p>
          <w:p w14:paraId="669F34F3" w14:textId="6BDCEE84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(7.1)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10B2B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83</w:t>
            </w:r>
          </w:p>
          <w:p w14:paraId="04BF4438" w14:textId="340640CC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(7.0)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8C813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0.034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104F6D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 (6.5)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3F03A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 (5.1)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0E8C5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82</w:t>
            </w:r>
          </w:p>
          <w:p w14:paraId="01E39C91" w14:textId="4E5EB258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(7.5)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A7C1E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84</w:t>
            </w:r>
          </w:p>
          <w:p w14:paraId="13FA22B2" w14:textId="63583036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(9.9)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1CD18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0.035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61F09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 (6.0)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165EC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 (4.5)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212CF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82</w:t>
            </w:r>
          </w:p>
          <w:p w14:paraId="427FFDC7" w14:textId="6008598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(7.3)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AEDE1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86</w:t>
            </w:r>
          </w:p>
          <w:p w14:paraId="43379CA0" w14:textId="5A349080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(7.4)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07E17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0.001</w:t>
            </w:r>
          </w:p>
        </w:tc>
      </w:tr>
      <w:tr w:rsidR="00C7366D" w:rsidRPr="00822BFB" w14:paraId="4A1014F0" w14:textId="77777777" w:rsidTr="00C7366D"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B098A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Female sex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C9DE5B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138 (63.9)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42020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103 (53.1)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35F76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98</w:t>
            </w:r>
          </w:p>
          <w:p w14:paraId="0C314804" w14:textId="69B1EF28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(46.9)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CC5A1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162</w:t>
            </w:r>
          </w:p>
          <w:p w14:paraId="59A47381" w14:textId="024675C1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(60.0)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00298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  <w:t>0.002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A035D1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84 (64.1)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D8065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64 (54.7)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810971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53</w:t>
            </w:r>
          </w:p>
          <w:p w14:paraId="61738AFD" w14:textId="7B53E81F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(44.5)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E38E9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99</w:t>
            </w:r>
          </w:p>
          <w:p w14:paraId="28A8061F" w14:textId="316A3D2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(63.5)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F908D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  <w:t>0.004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596163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 (70.8)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A0FF2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 (58.9)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1C85B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23</w:t>
            </w:r>
          </w:p>
          <w:p w14:paraId="26428FDB" w14:textId="28F03ED3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(36.5)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1CD20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55</w:t>
            </w:r>
          </w:p>
          <w:p w14:paraId="62958F56" w14:textId="4AB729ED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(66.3)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8BAB9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&lt;0.001</w:t>
            </w:r>
          </w:p>
        </w:tc>
      </w:tr>
      <w:tr w:rsidR="00C7366D" w:rsidRPr="00822BFB" w14:paraId="45F4133C" w14:textId="77777777" w:rsidTr="00C7366D">
        <w:tc>
          <w:tcPr>
            <w:tcW w:w="17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00AD6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Antiplatelets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AC90CE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149 (69.0)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3BF93E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136 (70.1)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83C6A4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139</w:t>
            </w:r>
          </w:p>
          <w:p w14:paraId="4CD58129" w14:textId="396880E2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(66.5)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89D552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197</w:t>
            </w:r>
          </w:p>
          <w:p w14:paraId="35C8E03B" w14:textId="0EC970DA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(73.0)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F0535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0.487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87B0EC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92 (70.2)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9B3284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66 (56.4)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905024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78</w:t>
            </w:r>
          </w:p>
          <w:p w14:paraId="5CEDB131" w14:textId="0E5F7A9B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(65.5)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9FAE6E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115</w:t>
            </w:r>
          </w:p>
          <w:p w14:paraId="25B38A55" w14:textId="09F3AC53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(73.7)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EA289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  <w:t>0.020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3E62CB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 (66.2)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60FDDB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 (57.1)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6471A1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38</w:t>
            </w:r>
          </w:p>
          <w:p w14:paraId="28F79AEB" w14:textId="66680A3F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(60.3)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F79C95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60</w:t>
            </w:r>
          </w:p>
          <w:p w14:paraId="3DFEF37A" w14:textId="043EBB1A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(72.3)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B72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0.252</w:t>
            </w:r>
          </w:p>
        </w:tc>
      </w:tr>
      <w:tr w:rsidR="00C7366D" w:rsidRPr="00822BFB" w14:paraId="6500D153" w14:textId="77777777" w:rsidTr="00C7366D"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2B126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  in AF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A2DC2A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27 (45.8)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51D88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 (55.1)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10417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28</w:t>
            </w:r>
          </w:p>
          <w:p w14:paraId="2BAAE85D" w14:textId="3926AC1D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(42.4)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A5927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40</w:t>
            </w:r>
          </w:p>
          <w:p w14:paraId="56A0F84C" w14:textId="05BAE538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(52.6)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26482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B6B474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 (44.8)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5AF45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 (33.3)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2E863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14</w:t>
            </w:r>
          </w:p>
          <w:p w14:paraId="6B91978C" w14:textId="02B9D85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(38.9)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90E40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25</w:t>
            </w:r>
          </w:p>
          <w:p w14:paraId="4B6FB983" w14:textId="28C4807F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(61.0)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CC6E9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D796D7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(58.3)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26070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(45.0)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1738F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5</w:t>
            </w:r>
          </w:p>
          <w:p w14:paraId="28FA9A95" w14:textId="16CB382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(35.7)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5DA4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14</w:t>
            </w:r>
          </w:p>
          <w:p w14:paraId="3108FD34" w14:textId="7E4829FA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(66.7)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7AC6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0.274</w:t>
            </w:r>
          </w:p>
        </w:tc>
      </w:tr>
      <w:tr w:rsidR="00C7366D" w:rsidRPr="00822BFB" w14:paraId="2968B84A" w14:textId="77777777" w:rsidTr="00C7366D">
        <w:tc>
          <w:tcPr>
            <w:tcW w:w="17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B3D5C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  in non-AF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1DD4F5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121 (77.6)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7F6915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97 (78.2)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BD836F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108</w:t>
            </w:r>
          </w:p>
          <w:p w14:paraId="05EF3FAC" w14:textId="0768163D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(77.1)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4AFAC1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156</w:t>
            </w:r>
          </w:p>
          <w:p w14:paraId="466A5278" w14:textId="1F82A358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(81.3)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AAD24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0.781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13F55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 (77.2)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E76018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 (67.9)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B87A22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63</w:t>
            </w:r>
          </w:p>
          <w:p w14:paraId="725E45BE" w14:textId="70324DDB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(76.8)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D3328E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89</w:t>
            </w:r>
          </w:p>
          <w:p w14:paraId="25A68B3D" w14:textId="75474534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(78.1)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8731D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0.384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4CBBE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 (67.9)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29184E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 (63.9)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BB7EFD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33</w:t>
            </w:r>
          </w:p>
          <w:p w14:paraId="51965D73" w14:textId="1F03AF5E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(67.3)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E09C08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46</w:t>
            </w:r>
          </w:p>
          <w:p w14:paraId="108BDAF3" w14:textId="72CEE20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(74.2)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B4B68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0.726</w:t>
            </w:r>
          </w:p>
        </w:tc>
      </w:tr>
      <w:tr w:rsidR="00C7366D" w:rsidRPr="00822BFB" w14:paraId="387B7365" w14:textId="77777777" w:rsidTr="00C7366D"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2AAC0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Anticoagulants in AF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0D669D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 (37.3)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646DC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 (18.8)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E905E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17</w:t>
            </w:r>
          </w:p>
          <w:p w14:paraId="6F795E1B" w14:textId="150543BD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(25.8)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7DED6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22</w:t>
            </w:r>
          </w:p>
          <w:p w14:paraId="1E1C1923" w14:textId="1DDC7243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(28.9)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D19C6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0.132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29467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(24.1)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3F43A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(12.8)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EA050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12</w:t>
            </w:r>
          </w:p>
          <w:p w14:paraId="020D59D9" w14:textId="76492295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(33.3)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CE99B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4</w:t>
            </w:r>
          </w:p>
          <w:p w14:paraId="553C8836" w14:textId="089ABBC6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(9.8)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26A2C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  <w:t>0.038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EFC957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(16.7)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BE0A8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(15.0)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219BD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6</w:t>
            </w:r>
          </w:p>
          <w:p w14:paraId="48B63C89" w14:textId="35C2323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(42.9)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D476A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3</w:t>
            </w:r>
          </w:p>
          <w:p w14:paraId="123D33C1" w14:textId="43C962B5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(14.3)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740BD" w14:textId="20D8E2A2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0.212</w:t>
            </w:r>
          </w:p>
        </w:tc>
      </w:tr>
      <w:tr w:rsidR="00C7366D" w:rsidRPr="00822BFB" w14:paraId="5C006B85" w14:textId="77777777" w:rsidTr="00C7366D"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6B045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BPLM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A54B50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141 (65.3)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72CD4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116 (59.8)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5420D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164</w:t>
            </w:r>
          </w:p>
          <w:p w14:paraId="178FA905" w14:textId="17B3CDAF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(78.5)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FF591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191</w:t>
            </w:r>
          </w:p>
          <w:p w14:paraId="7D53DCC9" w14:textId="546C86C1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(70.7)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9FF29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CE9059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80 (61.1)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498F9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73 (62.4)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0D951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94</w:t>
            </w:r>
          </w:p>
          <w:p w14:paraId="4EED5ED9" w14:textId="5A3DE00D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(79.0)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B73E2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107</w:t>
            </w:r>
          </w:p>
          <w:p w14:paraId="035C953C" w14:textId="37998071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(68.6)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5CF94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  <w:t>0.011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891DC2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 (60.0)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476FC5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 (58.9)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1918AD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46</w:t>
            </w:r>
          </w:p>
          <w:p w14:paraId="5C97BFAB" w14:textId="01D499D1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(73.0)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34237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55</w:t>
            </w:r>
          </w:p>
          <w:p w14:paraId="44A0DA90" w14:textId="08703530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(66.3)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D9F2D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0.328</w:t>
            </w:r>
          </w:p>
        </w:tc>
      </w:tr>
      <w:tr w:rsidR="00C7366D" w:rsidRPr="00822BFB" w14:paraId="7E2B77CC" w14:textId="77777777" w:rsidTr="00C7366D"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9B5EB" w14:textId="77777777" w:rsidR="006A65D3" w:rsidRPr="00822BFB" w:rsidRDefault="006A65D3" w:rsidP="0085116A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Statins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34C1BA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85 (39.4)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8CFBE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69 (35.6)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ACF4B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84</w:t>
            </w:r>
          </w:p>
          <w:p w14:paraId="04467755" w14:textId="3E5F3375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(40.2)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4E90F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97</w:t>
            </w:r>
          </w:p>
          <w:p w14:paraId="1E5C9A0C" w14:textId="332D8F3C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(35.9)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919A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0.673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74B995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 (31.3)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04D8A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36 (30.8)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5D404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46</w:t>
            </w:r>
          </w:p>
          <w:p w14:paraId="58AB7AC0" w14:textId="30D38621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(38.7)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06AE9" w14:textId="77777777" w:rsid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45</w:t>
            </w:r>
          </w:p>
          <w:p w14:paraId="45910CDD" w14:textId="05F2425E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(28.8)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75073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0.357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C647A1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 (30.8)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6F55B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 (19.6)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8915C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17</w:t>
            </w:r>
          </w:p>
          <w:p w14:paraId="4FEF864A" w14:textId="258D1F56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(27.0)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EB105" w14:textId="77777777" w:rsidR="00C7366D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18</w:t>
            </w:r>
          </w:p>
          <w:p w14:paraId="32FFA3BE" w14:textId="1959EE4D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(21.7)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98838" w14:textId="77777777" w:rsidR="006A65D3" w:rsidRPr="00822BFB" w:rsidRDefault="006A65D3" w:rsidP="008511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822B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val="en-US"/>
              </w:rPr>
              <w:t>0.451</w:t>
            </w:r>
          </w:p>
        </w:tc>
      </w:tr>
    </w:tbl>
    <w:p w14:paraId="649FDACC" w14:textId="04935853" w:rsidR="006A65D3" w:rsidRPr="00073A39" w:rsidRDefault="006A65D3" w:rsidP="0085116A">
      <w:pPr>
        <w:tabs>
          <w:tab w:val="left" w:pos="360"/>
        </w:tabs>
        <w:spacing w:after="0" w:line="240" w:lineRule="auto"/>
      </w:pPr>
      <w:r w:rsidRPr="00073A39">
        <w:rPr>
          <w:rFonts w:ascii="Times New Roman" w:hAnsi="Times New Roman" w:cs="Times New Roman"/>
          <w:sz w:val="20"/>
          <w:szCs w:val="20"/>
        </w:rPr>
        <w:t>Data are represented as number of cases (n) and percentage proportion (%), if not stated otherwise. In variables where n (%) are reported, p-values were obtained by chi-square or Fisher’s exact test, whereas in variables where mean (SD) are reported, p-values were obtained by ANOVA.</w:t>
      </w:r>
      <w:r w:rsidRPr="00073A39">
        <w:rPr>
          <w:rFonts w:ascii="Times New Roman" w:hAnsi="Times New Roman" w:cs="Times New Roman"/>
          <w:sz w:val="20"/>
          <w:szCs w:val="20"/>
        </w:rPr>
        <w:br/>
        <w:t xml:space="preserve">Patients who did not survive until the follow-up are excluded. Therapy was registered if a patient collected at least one prescription from the pharmacy in the </w:t>
      </w:r>
      <w:r w:rsidR="00C7366D" w:rsidRPr="00073A39">
        <w:rPr>
          <w:rFonts w:ascii="Times New Roman" w:hAnsi="Times New Roman" w:cs="Times New Roman"/>
          <w:sz w:val="20"/>
          <w:szCs w:val="20"/>
        </w:rPr>
        <w:t>6-month</w:t>
      </w:r>
      <w:r w:rsidRPr="00073A39">
        <w:rPr>
          <w:rFonts w:ascii="Times New Roman" w:hAnsi="Times New Roman" w:cs="Times New Roman"/>
          <w:sz w:val="20"/>
          <w:szCs w:val="20"/>
        </w:rPr>
        <w:t xml:space="preserve"> period before the stroke, or 1</w:t>
      </w:r>
      <w:r w:rsidRPr="00073A3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73A39">
        <w:rPr>
          <w:rFonts w:ascii="Times New Roman" w:hAnsi="Times New Roman" w:cs="Times New Roman"/>
          <w:sz w:val="20"/>
          <w:szCs w:val="20"/>
        </w:rPr>
        <w:t>, 2</w:t>
      </w:r>
      <w:r w:rsidRPr="00073A39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073A39">
        <w:rPr>
          <w:rFonts w:ascii="Times New Roman" w:hAnsi="Times New Roman" w:cs="Times New Roman"/>
          <w:sz w:val="20"/>
          <w:szCs w:val="20"/>
        </w:rPr>
        <w:t>, and 3</w:t>
      </w:r>
      <w:r w:rsidRPr="00073A39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073A39">
        <w:rPr>
          <w:rFonts w:ascii="Times New Roman" w:hAnsi="Times New Roman" w:cs="Times New Roman"/>
          <w:sz w:val="20"/>
          <w:szCs w:val="20"/>
        </w:rPr>
        <w:t xml:space="preserve"> year after stroke event. AD</w:t>
      </w:r>
      <w:r w:rsidR="00C7366D">
        <w:rPr>
          <w:rFonts w:ascii="Times New Roman" w:hAnsi="Times New Roman" w:cs="Times New Roman"/>
          <w:sz w:val="20"/>
          <w:szCs w:val="20"/>
        </w:rPr>
        <w:t xml:space="preserve">, </w:t>
      </w:r>
      <w:r w:rsidRPr="00073A39">
        <w:rPr>
          <w:rFonts w:ascii="Times New Roman" w:hAnsi="Times New Roman" w:cs="Times New Roman"/>
          <w:sz w:val="20"/>
          <w:szCs w:val="20"/>
        </w:rPr>
        <w:t>Alzheimer’s d</w:t>
      </w:r>
      <w:r w:rsidR="00073A39">
        <w:rPr>
          <w:rFonts w:ascii="Times New Roman" w:hAnsi="Times New Roman" w:cs="Times New Roman"/>
          <w:sz w:val="20"/>
          <w:szCs w:val="20"/>
        </w:rPr>
        <w:t>isease</w:t>
      </w:r>
      <w:r w:rsidRPr="00073A39">
        <w:rPr>
          <w:rFonts w:ascii="Times New Roman" w:hAnsi="Times New Roman" w:cs="Times New Roman"/>
          <w:sz w:val="20"/>
          <w:szCs w:val="20"/>
        </w:rPr>
        <w:t>; Mixed</w:t>
      </w:r>
      <w:r w:rsidR="00C7366D">
        <w:rPr>
          <w:rFonts w:ascii="Times New Roman" w:hAnsi="Times New Roman" w:cs="Times New Roman"/>
          <w:sz w:val="20"/>
          <w:szCs w:val="20"/>
        </w:rPr>
        <w:t xml:space="preserve">, </w:t>
      </w:r>
      <w:r w:rsidRPr="00073A39">
        <w:rPr>
          <w:rFonts w:ascii="Times New Roman" w:hAnsi="Times New Roman" w:cs="Times New Roman"/>
          <w:sz w:val="20"/>
          <w:szCs w:val="20"/>
        </w:rPr>
        <w:t>mixed dementia; Vascular</w:t>
      </w:r>
      <w:r w:rsidR="00C7366D">
        <w:rPr>
          <w:rFonts w:ascii="Times New Roman" w:hAnsi="Times New Roman" w:cs="Times New Roman"/>
          <w:sz w:val="20"/>
          <w:szCs w:val="20"/>
        </w:rPr>
        <w:t xml:space="preserve">, </w:t>
      </w:r>
      <w:r w:rsidRPr="00073A39">
        <w:rPr>
          <w:rFonts w:ascii="Times New Roman" w:hAnsi="Times New Roman" w:cs="Times New Roman"/>
          <w:sz w:val="20"/>
          <w:szCs w:val="20"/>
        </w:rPr>
        <w:t>vascular dementia;</w:t>
      </w:r>
      <w:r w:rsidRPr="00073A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3A39">
        <w:rPr>
          <w:rFonts w:ascii="Times New Roman" w:hAnsi="Times New Roman" w:cs="Times New Roman"/>
          <w:sz w:val="20"/>
          <w:szCs w:val="20"/>
        </w:rPr>
        <w:t>BPLM</w:t>
      </w:r>
      <w:r w:rsidR="00C7366D">
        <w:rPr>
          <w:rFonts w:ascii="Times New Roman" w:hAnsi="Times New Roman" w:cs="Times New Roman"/>
          <w:sz w:val="20"/>
          <w:szCs w:val="20"/>
        </w:rPr>
        <w:t xml:space="preserve">, </w:t>
      </w:r>
      <w:r w:rsidRPr="00073A39">
        <w:rPr>
          <w:rFonts w:ascii="Times New Roman" w:hAnsi="Times New Roman" w:cs="Times New Roman"/>
          <w:sz w:val="20"/>
          <w:szCs w:val="20"/>
        </w:rPr>
        <w:t>blood pressure lowering medication; AF</w:t>
      </w:r>
      <w:r w:rsidR="00C7366D">
        <w:rPr>
          <w:rFonts w:ascii="Times New Roman" w:hAnsi="Times New Roman" w:cs="Times New Roman"/>
          <w:sz w:val="20"/>
          <w:szCs w:val="20"/>
        </w:rPr>
        <w:t xml:space="preserve">, </w:t>
      </w:r>
      <w:r w:rsidRPr="00073A39">
        <w:rPr>
          <w:rFonts w:ascii="Times New Roman" w:hAnsi="Times New Roman" w:cs="Times New Roman"/>
          <w:sz w:val="20"/>
          <w:szCs w:val="20"/>
        </w:rPr>
        <w:t>atrial fibrillation</w:t>
      </w:r>
      <w:r w:rsidRPr="00073A39">
        <w:rPr>
          <w:rFonts w:ascii="Times New Roman" w:hAnsi="Times New Roman" w:cs="Times New Roman"/>
          <w:sz w:val="20"/>
          <w:szCs w:val="20"/>
        </w:rPr>
        <w:br/>
      </w:r>
    </w:p>
    <w:p w14:paraId="6399B087" w14:textId="77777777" w:rsidR="006A65D3" w:rsidRPr="00073A39" w:rsidRDefault="006A65D3" w:rsidP="0085116A">
      <w:pPr>
        <w:tabs>
          <w:tab w:val="left" w:pos="360"/>
        </w:tabs>
        <w:spacing w:after="0" w:line="240" w:lineRule="auto"/>
        <w:rPr>
          <w:bCs/>
          <w:iCs/>
          <w:sz w:val="19"/>
          <w:szCs w:val="19"/>
          <w:vertAlign w:val="superscript"/>
        </w:rPr>
      </w:pPr>
    </w:p>
    <w:p w14:paraId="1A1624E1" w14:textId="77777777" w:rsidR="006A65D3" w:rsidRPr="00073A39" w:rsidRDefault="006A65D3" w:rsidP="0085116A">
      <w:pPr>
        <w:tabs>
          <w:tab w:val="left" w:pos="360"/>
        </w:tabs>
        <w:spacing w:after="0" w:line="240" w:lineRule="auto"/>
      </w:pPr>
    </w:p>
    <w:p w14:paraId="0B473B3C" w14:textId="75772AB2" w:rsidR="006A65D3" w:rsidRPr="00073A39" w:rsidRDefault="006A65D3" w:rsidP="0085116A">
      <w:pPr>
        <w:pStyle w:val="EndNoteBibliography"/>
        <w:tabs>
          <w:tab w:val="left" w:pos="360"/>
        </w:tabs>
        <w:spacing w:after="0"/>
        <w:ind w:left="720" w:hanging="720"/>
        <w:rPr>
          <w:rFonts w:ascii="Times New Roman" w:hAnsi="Times New Roman" w:cs="Times New Roman"/>
          <w:noProof w:val="0"/>
        </w:rPr>
      </w:pPr>
    </w:p>
    <w:sectPr w:rsidR="006A65D3" w:rsidRPr="00073A39" w:rsidSect="000D3D96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9A079" w14:textId="77777777" w:rsidR="00C823C0" w:rsidRDefault="00C823C0" w:rsidP="00434D90">
      <w:pPr>
        <w:spacing w:after="0" w:line="240" w:lineRule="auto"/>
      </w:pPr>
      <w:r>
        <w:separator/>
      </w:r>
    </w:p>
  </w:endnote>
  <w:endnote w:type="continuationSeparator" w:id="0">
    <w:p w14:paraId="079C7617" w14:textId="77777777" w:rsidR="00C823C0" w:rsidRDefault="00C823C0" w:rsidP="0043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130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1FD2D" w14:textId="0C80AD45" w:rsidR="0099541E" w:rsidRDefault="0099541E" w:rsidP="00073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80C99" w14:textId="77777777" w:rsidR="00C823C0" w:rsidRDefault="00C823C0" w:rsidP="00434D90">
      <w:pPr>
        <w:spacing w:after="0" w:line="240" w:lineRule="auto"/>
      </w:pPr>
      <w:r>
        <w:separator/>
      </w:r>
    </w:p>
  </w:footnote>
  <w:footnote w:type="continuationSeparator" w:id="0">
    <w:p w14:paraId="74F429E1" w14:textId="77777777" w:rsidR="00C823C0" w:rsidRDefault="00C823C0" w:rsidP="0043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0486"/>
    <w:multiLevelType w:val="hybridMultilevel"/>
    <w:tmpl w:val="71122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05261C"/>
    <w:multiLevelType w:val="multilevel"/>
    <w:tmpl w:val="5B84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672E1F"/>
    <w:multiLevelType w:val="multilevel"/>
    <w:tmpl w:val="2174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2D20"/>
    <w:multiLevelType w:val="multilevel"/>
    <w:tmpl w:val="D878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lzheimer&amp;apos;s Disease Copy&lt;/Style&gt;&lt;LeftDelim&gt;{&lt;/LeftDelim&gt;&lt;RightDelim&gt;}&lt;/RightDelim&gt;&lt;FontName&gt;Arial Narrow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fd0swx0qw2zaset0zkxx5rndv0wxaff2zpp&quot;&gt;My EndNote Library&lt;record-ids&gt;&lt;item&gt;162&lt;/item&gt;&lt;item&gt;199&lt;/item&gt;&lt;item&gt;205&lt;/item&gt;&lt;item&gt;208&lt;/item&gt;&lt;item&gt;440&lt;/item&gt;&lt;item&gt;495&lt;/item&gt;&lt;item&gt;589&lt;/item&gt;&lt;item&gt;617&lt;/item&gt;&lt;item&gt;624&lt;/item&gt;&lt;item&gt;625&lt;/item&gt;&lt;item&gt;626&lt;/item&gt;&lt;item&gt;62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70&lt;/item&gt;&lt;item&gt;671&lt;/item&gt;&lt;item&gt;672&lt;/item&gt;&lt;item&gt;673&lt;/item&gt;&lt;item&gt;677&lt;/item&gt;&lt;item&gt;679&lt;/item&gt;&lt;item&gt;680&lt;/item&gt;&lt;item&gt;681&lt;/item&gt;&lt;item&gt;682&lt;/item&gt;&lt;item&gt;683&lt;/item&gt;&lt;item&gt;684&lt;/item&gt;&lt;item&gt;685&lt;/item&gt;&lt;item&gt;713&lt;/item&gt;&lt;item&gt;714&lt;/item&gt;&lt;/record-ids&gt;&lt;/item&gt;&lt;/Libraries&gt;"/>
  </w:docVars>
  <w:rsids>
    <w:rsidRoot w:val="00127FC3"/>
    <w:rsid w:val="00000F3D"/>
    <w:rsid w:val="00001E27"/>
    <w:rsid w:val="000030E6"/>
    <w:rsid w:val="00004AB0"/>
    <w:rsid w:val="00007A32"/>
    <w:rsid w:val="00010514"/>
    <w:rsid w:val="0001299E"/>
    <w:rsid w:val="00012ED2"/>
    <w:rsid w:val="00020B94"/>
    <w:rsid w:val="000317EA"/>
    <w:rsid w:val="00040C26"/>
    <w:rsid w:val="0004407E"/>
    <w:rsid w:val="000473CC"/>
    <w:rsid w:val="00050BBC"/>
    <w:rsid w:val="00057B60"/>
    <w:rsid w:val="00061BD8"/>
    <w:rsid w:val="000662A3"/>
    <w:rsid w:val="00067324"/>
    <w:rsid w:val="00067C7E"/>
    <w:rsid w:val="0007067F"/>
    <w:rsid w:val="00073A39"/>
    <w:rsid w:val="00073CEF"/>
    <w:rsid w:val="0008230F"/>
    <w:rsid w:val="00087C9D"/>
    <w:rsid w:val="0009056D"/>
    <w:rsid w:val="00092953"/>
    <w:rsid w:val="00096711"/>
    <w:rsid w:val="000A0E70"/>
    <w:rsid w:val="000A60E8"/>
    <w:rsid w:val="000A702B"/>
    <w:rsid w:val="000B1E05"/>
    <w:rsid w:val="000C702D"/>
    <w:rsid w:val="000D0CB7"/>
    <w:rsid w:val="000D0F4D"/>
    <w:rsid w:val="000D21FD"/>
    <w:rsid w:val="000D3D96"/>
    <w:rsid w:val="000D455E"/>
    <w:rsid w:val="000D4597"/>
    <w:rsid w:val="000D5175"/>
    <w:rsid w:val="000D63A0"/>
    <w:rsid w:val="000F4BCB"/>
    <w:rsid w:val="00100CA2"/>
    <w:rsid w:val="001031E6"/>
    <w:rsid w:val="001050B8"/>
    <w:rsid w:val="00106DB1"/>
    <w:rsid w:val="00110E79"/>
    <w:rsid w:val="001153F6"/>
    <w:rsid w:val="001158A7"/>
    <w:rsid w:val="00120223"/>
    <w:rsid w:val="00127FC3"/>
    <w:rsid w:val="00153865"/>
    <w:rsid w:val="00154C26"/>
    <w:rsid w:val="0016055A"/>
    <w:rsid w:val="00163F96"/>
    <w:rsid w:val="00165CDA"/>
    <w:rsid w:val="00167C67"/>
    <w:rsid w:val="00174BBB"/>
    <w:rsid w:val="0018344D"/>
    <w:rsid w:val="00185694"/>
    <w:rsid w:val="00193458"/>
    <w:rsid w:val="00196DB5"/>
    <w:rsid w:val="001A09B3"/>
    <w:rsid w:val="001B22AE"/>
    <w:rsid w:val="001B351F"/>
    <w:rsid w:val="001B3CC9"/>
    <w:rsid w:val="001B5613"/>
    <w:rsid w:val="001B65A4"/>
    <w:rsid w:val="001C2A2F"/>
    <w:rsid w:val="001D1D58"/>
    <w:rsid w:val="001D36F1"/>
    <w:rsid w:val="001D7A59"/>
    <w:rsid w:val="001E16CB"/>
    <w:rsid w:val="001E2141"/>
    <w:rsid w:val="001E400A"/>
    <w:rsid w:val="001E4988"/>
    <w:rsid w:val="001E6262"/>
    <w:rsid w:val="001E7C1C"/>
    <w:rsid w:val="001F030A"/>
    <w:rsid w:val="001F494A"/>
    <w:rsid w:val="001F6388"/>
    <w:rsid w:val="002007F0"/>
    <w:rsid w:val="00203795"/>
    <w:rsid w:val="00207777"/>
    <w:rsid w:val="00210372"/>
    <w:rsid w:val="00210B8D"/>
    <w:rsid w:val="002110C1"/>
    <w:rsid w:val="002129B0"/>
    <w:rsid w:val="00214D34"/>
    <w:rsid w:val="00215DDC"/>
    <w:rsid w:val="00221E9F"/>
    <w:rsid w:val="00222432"/>
    <w:rsid w:val="00222D2A"/>
    <w:rsid w:val="00232129"/>
    <w:rsid w:val="00246B58"/>
    <w:rsid w:val="002472DB"/>
    <w:rsid w:val="002619AA"/>
    <w:rsid w:val="00263AFB"/>
    <w:rsid w:val="00271795"/>
    <w:rsid w:val="00290819"/>
    <w:rsid w:val="002934C4"/>
    <w:rsid w:val="002A2B51"/>
    <w:rsid w:val="002A3089"/>
    <w:rsid w:val="002A5320"/>
    <w:rsid w:val="002A631C"/>
    <w:rsid w:val="002A6D7A"/>
    <w:rsid w:val="002B3A9C"/>
    <w:rsid w:val="002C75E9"/>
    <w:rsid w:val="002D15EC"/>
    <w:rsid w:val="002D221D"/>
    <w:rsid w:val="002D5770"/>
    <w:rsid w:val="002D6A59"/>
    <w:rsid w:val="002E009B"/>
    <w:rsid w:val="002E28F0"/>
    <w:rsid w:val="002E459F"/>
    <w:rsid w:val="002E6531"/>
    <w:rsid w:val="002F01F7"/>
    <w:rsid w:val="00300827"/>
    <w:rsid w:val="00303876"/>
    <w:rsid w:val="00306591"/>
    <w:rsid w:val="00314E5C"/>
    <w:rsid w:val="0031529B"/>
    <w:rsid w:val="003166E0"/>
    <w:rsid w:val="00317900"/>
    <w:rsid w:val="00321402"/>
    <w:rsid w:val="0032411D"/>
    <w:rsid w:val="003353E4"/>
    <w:rsid w:val="00335B1A"/>
    <w:rsid w:val="00341441"/>
    <w:rsid w:val="003527F3"/>
    <w:rsid w:val="0035306D"/>
    <w:rsid w:val="00356253"/>
    <w:rsid w:val="003629F2"/>
    <w:rsid w:val="0036382D"/>
    <w:rsid w:val="003639F4"/>
    <w:rsid w:val="00365763"/>
    <w:rsid w:val="00366CB4"/>
    <w:rsid w:val="003728BA"/>
    <w:rsid w:val="00375AE9"/>
    <w:rsid w:val="00376EAE"/>
    <w:rsid w:val="0037767E"/>
    <w:rsid w:val="00381B1E"/>
    <w:rsid w:val="0039416B"/>
    <w:rsid w:val="003956A9"/>
    <w:rsid w:val="003B0584"/>
    <w:rsid w:val="003C1B13"/>
    <w:rsid w:val="003C5A37"/>
    <w:rsid w:val="003D0F04"/>
    <w:rsid w:val="003D31D7"/>
    <w:rsid w:val="003E5C79"/>
    <w:rsid w:val="003F0905"/>
    <w:rsid w:val="003F55A3"/>
    <w:rsid w:val="003F6570"/>
    <w:rsid w:val="004028AF"/>
    <w:rsid w:val="004070E7"/>
    <w:rsid w:val="00413DDC"/>
    <w:rsid w:val="004153F0"/>
    <w:rsid w:val="00420A3E"/>
    <w:rsid w:val="00422872"/>
    <w:rsid w:val="004228E2"/>
    <w:rsid w:val="004234C6"/>
    <w:rsid w:val="0042625A"/>
    <w:rsid w:val="0043145B"/>
    <w:rsid w:val="00434728"/>
    <w:rsid w:val="00434D90"/>
    <w:rsid w:val="004426A0"/>
    <w:rsid w:val="00442923"/>
    <w:rsid w:val="004466B8"/>
    <w:rsid w:val="00451440"/>
    <w:rsid w:val="004574AC"/>
    <w:rsid w:val="00467BDA"/>
    <w:rsid w:val="00470413"/>
    <w:rsid w:val="00472F60"/>
    <w:rsid w:val="00482A53"/>
    <w:rsid w:val="00483672"/>
    <w:rsid w:val="004854CD"/>
    <w:rsid w:val="00493195"/>
    <w:rsid w:val="00497494"/>
    <w:rsid w:val="004A1CCB"/>
    <w:rsid w:val="004A50C9"/>
    <w:rsid w:val="004A5E44"/>
    <w:rsid w:val="004A7CD5"/>
    <w:rsid w:val="004B01F5"/>
    <w:rsid w:val="004B2CBE"/>
    <w:rsid w:val="004B4DD6"/>
    <w:rsid w:val="004B4FA7"/>
    <w:rsid w:val="004C2207"/>
    <w:rsid w:val="004C2F66"/>
    <w:rsid w:val="004D294D"/>
    <w:rsid w:val="004D61B5"/>
    <w:rsid w:val="004E2CEF"/>
    <w:rsid w:val="004E3849"/>
    <w:rsid w:val="004E5255"/>
    <w:rsid w:val="004F189F"/>
    <w:rsid w:val="004F53FB"/>
    <w:rsid w:val="00511A95"/>
    <w:rsid w:val="00514142"/>
    <w:rsid w:val="00533C77"/>
    <w:rsid w:val="005372F9"/>
    <w:rsid w:val="005378DC"/>
    <w:rsid w:val="0055100C"/>
    <w:rsid w:val="00552433"/>
    <w:rsid w:val="00562E6A"/>
    <w:rsid w:val="00563C10"/>
    <w:rsid w:val="00564682"/>
    <w:rsid w:val="00574108"/>
    <w:rsid w:val="00582E3D"/>
    <w:rsid w:val="005831DE"/>
    <w:rsid w:val="00587679"/>
    <w:rsid w:val="005A01E1"/>
    <w:rsid w:val="005A2F40"/>
    <w:rsid w:val="005A349A"/>
    <w:rsid w:val="005B5A2D"/>
    <w:rsid w:val="005C3E50"/>
    <w:rsid w:val="005C4E89"/>
    <w:rsid w:val="005D68E7"/>
    <w:rsid w:val="005E5151"/>
    <w:rsid w:val="005E6859"/>
    <w:rsid w:val="005F276D"/>
    <w:rsid w:val="005F341F"/>
    <w:rsid w:val="00603DF9"/>
    <w:rsid w:val="00604310"/>
    <w:rsid w:val="00607588"/>
    <w:rsid w:val="00610B80"/>
    <w:rsid w:val="00612439"/>
    <w:rsid w:val="00615E6A"/>
    <w:rsid w:val="00620F3D"/>
    <w:rsid w:val="0062312B"/>
    <w:rsid w:val="00623FBD"/>
    <w:rsid w:val="006266A7"/>
    <w:rsid w:val="00630476"/>
    <w:rsid w:val="00631580"/>
    <w:rsid w:val="00646610"/>
    <w:rsid w:val="00650DA1"/>
    <w:rsid w:val="006554B4"/>
    <w:rsid w:val="00662793"/>
    <w:rsid w:val="00663C37"/>
    <w:rsid w:val="006679AA"/>
    <w:rsid w:val="00682528"/>
    <w:rsid w:val="006841C2"/>
    <w:rsid w:val="00685E8D"/>
    <w:rsid w:val="0069386D"/>
    <w:rsid w:val="00695262"/>
    <w:rsid w:val="006A65D3"/>
    <w:rsid w:val="006B0000"/>
    <w:rsid w:val="006B2C18"/>
    <w:rsid w:val="006B2D02"/>
    <w:rsid w:val="006B3FBB"/>
    <w:rsid w:val="006B6E84"/>
    <w:rsid w:val="006B78F0"/>
    <w:rsid w:val="006D2AF2"/>
    <w:rsid w:val="006D3B14"/>
    <w:rsid w:val="006E1860"/>
    <w:rsid w:val="006E2052"/>
    <w:rsid w:val="006E39FE"/>
    <w:rsid w:val="006E424C"/>
    <w:rsid w:val="006E705A"/>
    <w:rsid w:val="006F10D6"/>
    <w:rsid w:val="00700F0A"/>
    <w:rsid w:val="0070401A"/>
    <w:rsid w:val="0070593E"/>
    <w:rsid w:val="0071431B"/>
    <w:rsid w:val="0071591B"/>
    <w:rsid w:val="00720B54"/>
    <w:rsid w:val="00720B8D"/>
    <w:rsid w:val="00726A5E"/>
    <w:rsid w:val="00740AAF"/>
    <w:rsid w:val="0074470C"/>
    <w:rsid w:val="00746063"/>
    <w:rsid w:val="00746214"/>
    <w:rsid w:val="00746BAC"/>
    <w:rsid w:val="007474B6"/>
    <w:rsid w:val="007515C2"/>
    <w:rsid w:val="007519BB"/>
    <w:rsid w:val="007565F2"/>
    <w:rsid w:val="00756930"/>
    <w:rsid w:val="00766CBE"/>
    <w:rsid w:val="00772003"/>
    <w:rsid w:val="0077744F"/>
    <w:rsid w:val="00780F20"/>
    <w:rsid w:val="00781D03"/>
    <w:rsid w:val="00797270"/>
    <w:rsid w:val="007A3F4D"/>
    <w:rsid w:val="007B24E7"/>
    <w:rsid w:val="007B6386"/>
    <w:rsid w:val="007C2A4B"/>
    <w:rsid w:val="007C43E0"/>
    <w:rsid w:val="007C45E5"/>
    <w:rsid w:val="007E002C"/>
    <w:rsid w:val="007E235F"/>
    <w:rsid w:val="007E2A15"/>
    <w:rsid w:val="007E5113"/>
    <w:rsid w:val="007E7E95"/>
    <w:rsid w:val="007F321E"/>
    <w:rsid w:val="007F3690"/>
    <w:rsid w:val="007F4733"/>
    <w:rsid w:val="007F6492"/>
    <w:rsid w:val="0081268B"/>
    <w:rsid w:val="008214B1"/>
    <w:rsid w:val="00822BFB"/>
    <w:rsid w:val="00824335"/>
    <w:rsid w:val="0085116A"/>
    <w:rsid w:val="008673A1"/>
    <w:rsid w:val="00877EF0"/>
    <w:rsid w:val="008812EE"/>
    <w:rsid w:val="008820D3"/>
    <w:rsid w:val="00883C84"/>
    <w:rsid w:val="00884520"/>
    <w:rsid w:val="00884EEB"/>
    <w:rsid w:val="008854C8"/>
    <w:rsid w:val="00885D74"/>
    <w:rsid w:val="0088751E"/>
    <w:rsid w:val="0089156F"/>
    <w:rsid w:val="008A0DC3"/>
    <w:rsid w:val="008A3156"/>
    <w:rsid w:val="008B10E1"/>
    <w:rsid w:val="008C5C04"/>
    <w:rsid w:val="008C6775"/>
    <w:rsid w:val="008C6AD8"/>
    <w:rsid w:val="008D69C1"/>
    <w:rsid w:val="008E560D"/>
    <w:rsid w:val="008F2134"/>
    <w:rsid w:val="008F38F4"/>
    <w:rsid w:val="008F46B0"/>
    <w:rsid w:val="00901025"/>
    <w:rsid w:val="0090246B"/>
    <w:rsid w:val="009046B5"/>
    <w:rsid w:val="00906D6D"/>
    <w:rsid w:val="00912D83"/>
    <w:rsid w:val="0092760A"/>
    <w:rsid w:val="009316C0"/>
    <w:rsid w:val="009327E6"/>
    <w:rsid w:val="009340B6"/>
    <w:rsid w:val="009361A8"/>
    <w:rsid w:val="00942C74"/>
    <w:rsid w:val="009431E9"/>
    <w:rsid w:val="00943C48"/>
    <w:rsid w:val="00954EBD"/>
    <w:rsid w:val="00955024"/>
    <w:rsid w:val="00955D51"/>
    <w:rsid w:val="00970F7F"/>
    <w:rsid w:val="0097563A"/>
    <w:rsid w:val="00981B76"/>
    <w:rsid w:val="00981C03"/>
    <w:rsid w:val="00983B83"/>
    <w:rsid w:val="00987263"/>
    <w:rsid w:val="00990665"/>
    <w:rsid w:val="009911FA"/>
    <w:rsid w:val="0099289A"/>
    <w:rsid w:val="0099541E"/>
    <w:rsid w:val="00996068"/>
    <w:rsid w:val="009C1A95"/>
    <w:rsid w:val="009C237B"/>
    <w:rsid w:val="009D2D1D"/>
    <w:rsid w:val="009D5A2E"/>
    <w:rsid w:val="009E4FD3"/>
    <w:rsid w:val="009F23EB"/>
    <w:rsid w:val="009F34DE"/>
    <w:rsid w:val="009F4729"/>
    <w:rsid w:val="00A13DA5"/>
    <w:rsid w:val="00A201CF"/>
    <w:rsid w:val="00A23FF4"/>
    <w:rsid w:val="00A330A6"/>
    <w:rsid w:val="00A37031"/>
    <w:rsid w:val="00A418A5"/>
    <w:rsid w:val="00A513DA"/>
    <w:rsid w:val="00A565A5"/>
    <w:rsid w:val="00A63D91"/>
    <w:rsid w:val="00A65B59"/>
    <w:rsid w:val="00A80352"/>
    <w:rsid w:val="00A80D1B"/>
    <w:rsid w:val="00A81279"/>
    <w:rsid w:val="00A84622"/>
    <w:rsid w:val="00A84EC5"/>
    <w:rsid w:val="00A85369"/>
    <w:rsid w:val="00A92268"/>
    <w:rsid w:val="00A947AA"/>
    <w:rsid w:val="00A956A7"/>
    <w:rsid w:val="00AA164D"/>
    <w:rsid w:val="00AA25CB"/>
    <w:rsid w:val="00AA2B29"/>
    <w:rsid w:val="00AA42FF"/>
    <w:rsid w:val="00AA77C3"/>
    <w:rsid w:val="00AB0937"/>
    <w:rsid w:val="00AB27CF"/>
    <w:rsid w:val="00AB73E4"/>
    <w:rsid w:val="00AC2A90"/>
    <w:rsid w:val="00AC4038"/>
    <w:rsid w:val="00AC78CC"/>
    <w:rsid w:val="00AD6F88"/>
    <w:rsid w:val="00AE420C"/>
    <w:rsid w:val="00AE4650"/>
    <w:rsid w:val="00AF520F"/>
    <w:rsid w:val="00AF6F45"/>
    <w:rsid w:val="00AF75B9"/>
    <w:rsid w:val="00AF7D74"/>
    <w:rsid w:val="00B033A1"/>
    <w:rsid w:val="00B07E2F"/>
    <w:rsid w:val="00B13784"/>
    <w:rsid w:val="00B35448"/>
    <w:rsid w:val="00B356C2"/>
    <w:rsid w:val="00B47897"/>
    <w:rsid w:val="00B53AF3"/>
    <w:rsid w:val="00B541F6"/>
    <w:rsid w:val="00B5565F"/>
    <w:rsid w:val="00B57F95"/>
    <w:rsid w:val="00B65A7C"/>
    <w:rsid w:val="00B676F5"/>
    <w:rsid w:val="00B72740"/>
    <w:rsid w:val="00B75958"/>
    <w:rsid w:val="00B76B5B"/>
    <w:rsid w:val="00B80ECC"/>
    <w:rsid w:val="00B83758"/>
    <w:rsid w:val="00B8739B"/>
    <w:rsid w:val="00B87DE6"/>
    <w:rsid w:val="00B92DDA"/>
    <w:rsid w:val="00B94CB2"/>
    <w:rsid w:val="00BA5722"/>
    <w:rsid w:val="00BA5A44"/>
    <w:rsid w:val="00BA71AC"/>
    <w:rsid w:val="00BC501F"/>
    <w:rsid w:val="00BD425A"/>
    <w:rsid w:val="00BE074D"/>
    <w:rsid w:val="00BE0D0A"/>
    <w:rsid w:val="00BE2F09"/>
    <w:rsid w:val="00BE3CA1"/>
    <w:rsid w:val="00BE6D7F"/>
    <w:rsid w:val="00BE70A7"/>
    <w:rsid w:val="00BE7CB5"/>
    <w:rsid w:val="00BF1E12"/>
    <w:rsid w:val="00BF4A11"/>
    <w:rsid w:val="00C04F7D"/>
    <w:rsid w:val="00C1078A"/>
    <w:rsid w:val="00C20FF8"/>
    <w:rsid w:val="00C2369F"/>
    <w:rsid w:val="00C30CD9"/>
    <w:rsid w:val="00C31E2F"/>
    <w:rsid w:val="00C64449"/>
    <w:rsid w:val="00C65B66"/>
    <w:rsid w:val="00C7366D"/>
    <w:rsid w:val="00C823C0"/>
    <w:rsid w:val="00C828EC"/>
    <w:rsid w:val="00C84F15"/>
    <w:rsid w:val="00C972A3"/>
    <w:rsid w:val="00CA1405"/>
    <w:rsid w:val="00CA47FE"/>
    <w:rsid w:val="00CA4E38"/>
    <w:rsid w:val="00CA4F8B"/>
    <w:rsid w:val="00CA7863"/>
    <w:rsid w:val="00CA7B57"/>
    <w:rsid w:val="00CB0F23"/>
    <w:rsid w:val="00CB1DA1"/>
    <w:rsid w:val="00CC0B40"/>
    <w:rsid w:val="00CC3813"/>
    <w:rsid w:val="00CC5B91"/>
    <w:rsid w:val="00CD359B"/>
    <w:rsid w:val="00CD44DB"/>
    <w:rsid w:val="00CE3C5D"/>
    <w:rsid w:val="00CF1FCD"/>
    <w:rsid w:val="00CF6AB6"/>
    <w:rsid w:val="00CF73D5"/>
    <w:rsid w:val="00D02858"/>
    <w:rsid w:val="00D04756"/>
    <w:rsid w:val="00D13EA0"/>
    <w:rsid w:val="00D14269"/>
    <w:rsid w:val="00D3166E"/>
    <w:rsid w:val="00D32803"/>
    <w:rsid w:val="00D427C3"/>
    <w:rsid w:val="00D43740"/>
    <w:rsid w:val="00D47082"/>
    <w:rsid w:val="00D52092"/>
    <w:rsid w:val="00D53442"/>
    <w:rsid w:val="00D55DDC"/>
    <w:rsid w:val="00D564B8"/>
    <w:rsid w:val="00D56CC8"/>
    <w:rsid w:val="00D613AD"/>
    <w:rsid w:val="00D662D4"/>
    <w:rsid w:val="00D671B3"/>
    <w:rsid w:val="00D76D6E"/>
    <w:rsid w:val="00D77B7F"/>
    <w:rsid w:val="00D81069"/>
    <w:rsid w:val="00D85D48"/>
    <w:rsid w:val="00DA03A4"/>
    <w:rsid w:val="00DA1416"/>
    <w:rsid w:val="00DA1EFF"/>
    <w:rsid w:val="00DA53FA"/>
    <w:rsid w:val="00DA6F6F"/>
    <w:rsid w:val="00DB21F3"/>
    <w:rsid w:val="00DB2A9C"/>
    <w:rsid w:val="00DC34C5"/>
    <w:rsid w:val="00DE1DBE"/>
    <w:rsid w:val="00DE2706"/>
    <w:rsid w:val="00DE50FD"/>
    <w:rsid w:val="00DE56FA"/>
    <w:rsid w:val="00E00945"/>
    <w:rsid w:val="00E03206"/>
    <w:rsid w:val="00E11549"/>
    <w:rsid w:val="00E11864"/>
    <w:rsid w:val="00E1517A"/>
    <w:rsid w:val="00E1648E"/>
    <w:rsid w:val="00E23BEC"/>
    <w:rsid w:val="00E31ACD"/>
    <w:rsid w:val="00E33722"/>
    <w:rsid w:val="00E40CB2"/>
    <w:rsid w:val="00E50FDA"/>
    <w:rsid w:val="00E536A8"/>
    <w:rsid w:val="00E5734B"/>
    <w:rsid w:val="00E60B1F"/>
    <w:rsid w:val="00E61EA4"/>
    <w:rsid w:val="00E6264F"/>
    <w:rsid w:val="00E629C7"/>
    <w:rsid w:val="00E62D5B"/>
    <w:rsid w:val="00E64A1F"/>
    <w:rsid w:val="00E66B96"/>
    <w:rsid w:val="00E7070C"/>
    <w:rsid w:val="00E718DB"/>
    <w:rsid w:val="00E744A6"/>
    <w:rsid w:val="00E75C59"/>
    <w:rsid w:val="00E778AF"/>
    <w:rsid w:val="00E92373"/>
    <w:rsid w:val="00E93551"/>
    <w:rsid w:val="00EA0797"/>
    <w:rsid w:val="00EA5F55"/>
    <w:rsid w:val="00EA77FE"/>
    <w:rsid w:val="00EB1F22"/>
    <w:rsid w:val="00EB581B"/>
    <w:rsid w:val="00EC581D"/>
    <w:rsid w:val="00EC6C3D"/>
    <w:rsid w:val="00ED6060"/>
    <w:rsid w:val="00ED6916"/>
    <w:rsid w:val="00EE1570"/>
    <w:rsid w:val="00EE7A52"/>
    <w:rsid w:val="00EF226D"/>
    <w:rsid w:val="00EF66BA"/>
    <w:rsid w:val="00F03371"/>
    <w:rsid w:val="00F0557B"/>
    <w:rsid w:val="00F05C40"/>
    <w:rsid w:val="00F125E0"/>
    <w:rsid w:val="00F14D0E"/>
    <w:rsid w:val="00F160E5"/>
    <w:rsid w:val="00F22B67"/>
    <w:rsid w:val="00F2388E"/>
    <w:rsid w:val="00F2607C"/>
    <w:rsid w:val="00F368EA"/>
    <w:rsid w:val="00F433AB"/>
    <w:rsid w:val="00F43AFA"/>
    <w:rsid w:val="00F50F24"/>
    <w:rsid w:val="00F57F42"/>
    <w:rsid w:val="00F607B9"/>
    <w:rsid w:val="00F62835"/>
    <w:rsid w:val="00F628FE"/>
    <w:rsid w:val="00F62F96"/>
    <w:rsid w:val="00F63BD0"/>
    <w:rsid w:val="00F66D15"/>
    <w:rsid w:val="00F66FD8"/>
    <w:rsid w:val="00F72A1F"/>
    <w:rsid w:val="00F85752"/>
    <w:rsid w:val="00F922BF"/>
    <w:rsid w:val="00F94474"/>
    <w:rsid w:val="00F94C96"/>
    <w:rsid w:val="00FB499B"/>
    <w:rsid w:val="00FC10F3"/>
    <w:rsid w:val="00FC33CA"/>
    <w:rsid w:val="00FD16AD"/>
    <w:rsid w:val="00FE1C77"/>
    <w:rsid w:val="00FE31D2"/>
    <w:rsid w:val="00FE5656"/>
    <w:rsid w:val="00FE5F0E"/>
    <w:rsid w:val="00FF21EB"/>
    <w:rsid w:val="00FF4BCF"/>
    <w:rsid w:val="00FF610B"/>
    <w:rsid w:val="00FF62E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907F1"/>
  <w15:docId w15:val="{44A2312C-F579-4CD5-90A6-7E52FBD4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56"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B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C34C5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DC34C5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34C5"/>
    <w:rPr>
      <w:rFonts w:ascii="Arial Narrow" w:hAnsi="Arial Narrow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C34C5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C34C5"/>
    <w:rPr>
      <w:rFonts w:ascii="Arial Narrow" w:hAnsi="Arial Narrow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DC34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7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B7F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B7F"/>
    <w:rPr>
      <w:rFonts w:ascii="Arial Narrow" w:hAnsi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90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434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90"/>
    <w:rPr>
      <w:rFonts w:ascii="Arial Narrow" w:hAnsi="Arial Narrow"/>
      <w:sz w:val="24"/>
    </w:rPr>
  </w:style>
  <w:style w:type="character" w:customStyle="1" w:styleId="s1">
    <w:name w:val="s1"/>
    <w:basedOn w:val="DefaultParagraphFont"/>
    <w:rsid w:val="00996068"/>
  </w:style>
  <w:style w:type="character" w:styleId="Emphasis">
    <w:name w:val="Emphasis"/>
    <w:basedOn w:val="DefaultParagraphFont"/>
    <w:uiPriority w:val="20"/>
    <w:qFormat/>
    <w:rsid w:val="004A50C9"/>
    <w:rPr>
      <w:i/>
      <w:iCs/>
    </w:rPr>
  </w:style>
  <w:style w:type="paragraph" w:styleId="NormalWeb">
    <w:name w:val="Normal (Web)"/>
    <w:basedOn w:val="Normal"/>
    <w:uiPriority w:val="99"/>
    <w:unhideWhenUsed/>
    <w:rsid w:val="00E151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table" w:styleId="TableGrid">
    <w:name w:val="Table Grid"/>
    <w:basedOn w:val="TableNormal"/>
    <w:uiPriority w:val="39"/>
    <w:rsid w:val="004234C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67B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pct10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C5B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F582-BEE6-493F-8D95-5BECC691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Županič</dc:creator>
  <cp:lastModifiedBy>DevendranMalu</cp:lastModifiedBy>
  <cp:revision>2</cp:revision>
  <dcterms:created xsi:type="dcterms:W3CDTF">2019-12-25T18:02:00Z</dcterms:created>
  <dcterms:modified xsi:type="dcterms:W3CDTF">2019-12-25T18:02:00Z</dcterms:modified>
</cp:coreProperties>
</file>