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8" w:rsidRPr="004B154C" w:rsidRDefault="006A69E8" w:rsidP="006A69E8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B154C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</w:p>
    <w:p w:rsidR="006A69E8" w:rsidRPr="004B154C" w:rsidRDefault="006A69E8" w:rsidP="006A69E8">
      <w:pPr>
        <w:pStyle w:val="NoSpacing"/>
        <w:tabs>
          <w:tab w:val="left" w:pos="360"/>
        </w:tabs>
        <w:rPr>
          <w:rFonts w:ascii="Times New Roman" w:hAnsi="Times New Roman" w:cs="Times New Roman"/>
          <w:b/>
          <w:lang w:val="en-US"/>
        </w:rPr>
      </w:pPr>
    </w:p>
    <w:p w:rsidR="006A69E8" w:rsidRPr="004B154C" w:rsidRDefault="006A69E8" w:rsidP="006A69E8">
      <w:pPr>
        <w:pStyle w:val="NoSpacing"/>
        <w:tabs>
          <w:tab w:val="left" w:pos="360"/>
        </w:tabs>
        <w:rPr>
          <w:rFonts w:ascii="Times New Roman" w:hAnsi="Times New Roman" w:cs="Times New Roman"/>
          <w:b/>
          <w:lang w:val="en-US"/>
        </w:rPr>
      </w:pPr>
      <w:r w:rsidRPr="004B154C">
        <w:rPr>
          <w:rFonts w:ascii="Times New Roman" w:hAnsi="Times New Roman" w:cs="Times New Roman"/>
          <w:b/>
          <w:lang w:val="en-US"/>
        </w:rPr>
        <w:t>Beta-Blockers for the Secondary Prevention of Myocardial Infarction in People with Dementia: A Systematic Review</w:t>
      </w:r>
    </w:p>
    <w:p w:rsidR="006A69E8" w:rsidRDefault="006A69E8" w:rsidP="006A69E8">
      <w:pPr>
        <w:pStyle w:val="NoSpacing"/>
        <w:tabs>
          <w:tab w:val="left" w:pos="360"/>
        </w:tabs>
        <w:rPr>
          <w:rFonts w:ascii="Times New Roman" w:hAnsi="Times New Roman" w:cs="Times New Roman"/>
          <w:lang w:val="en-US"/>
        </w:rPr>
      </w:pPr>
    </w:p>
    <w:p w:rsidR="006A69E8" w:rsidRPr="004B154C" w:rsidRDefault="006A69E8" w:rsidP="006A69E8">
      <w:pPr>
        <w:pStyle w:val="NoSpacing"/>
        <w:tabs>
          <w:tab w:val="left" w:pos="360"/>
        </w:tabs>
        <w:rPr>
          <w:rFonts w:ascii="Times New Roman" w:hAnsi="Times New Roman" w:cs="Times New Roman"/>
          <w:lang w:val="en-US"/>
        </w:rPr>
      </w:pPr>
    </w:p>
    <w:p w:rsidR="006A69E8" w:rsidRPr="004B154C" w:rsidRDefault="006A69E8" w:rsidP="006A69E8">
      <w:pPr>
        <w:pStyle w:val="NoSpacing"/>
        <w:tabs>
          <w:tab w:val="left" w:pos="360"/>
        </w:tabs>
        <w:rPr>
          <w:rFonts w:ascii="Times New Roman" w:hAnsi="Times New Roman" w:cs="Times New Roman"/>
          <w:lang w:val="en-US"/>
        </w:rPr>
      </w:pPr>
    </w:p>
    <w:p w:rsidR="006A69E8" w:rsidRPr="004B154C" w:rsidRDefault="006A69E8" w:rsidP="006A69E8">
      <w:pPr>
        <w:pStyle w:val="NoSpacing"/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  <w:r w:rsidRPr="004B154C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</w:t>
      </w:r>
      <w:r w:rsidRPr="004B154C">
        <w:rPr>
          <w:rFonts w:ascii="Times New Roman" w:hAnsi="Times New Roman" w:cs="Times New Roman"/>
          <w:lang w:val="en-US"/>
        </w:rPr>
        <w:t xml:space="preserve">IHD OR </w:t>
      </w:r>
      <w:proofErr w:type="spellStart"/>
      <w:r w:rsidRPr="004B154C">
        <w:rPr>
          <w:rFonts w:ascii="Times New Roman" w:hAnsi="Times New Roman" w:cs="Times New Roman"/>
          <w:lang w:val="en-US"/>
        </w:rPr>
        <w:t>Ischaemic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Heart Disease OR MI OR CAD OR Coronary Artery Disease OR cardiovascular disease OR heart attack OR myocardial infarction OR cardiac </w:t>
      </w:r>
      <w:proofErr w:type="spellStart"/>
      <w:r w:rsidRPr="004B154C">
        <w:rPr>
          <w:rFonts w:ascii="Times New Roman" w:hAnsi="Times New Roman" w:cs="Times New Roman"/>
          <w:lang w:val="en-US"/>
        </w:rPr>
        <w:t>ischaemia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coronary </w:t>
      </w:r>
      <w:proofErr w:type="spellStart"/>
      <w:r w:rsidRPr="004B154C">
        <w:rPr>
          <w:rFonts w:ascii="Times New Roman" w:hAnsi="Times New Roman" w:cs="Times New Roman"/>
          <w:lang w:val="en-US"/>
        </w:rPr>
        <w:t>ischaemia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coronary infarction OR STEMI OR NSTEMI OR ACS OR unstable angina OR Acute Coronary Syndrome </w:t>
      </w:r>
    </w:p>
    <w:p w:rsidR="006A69E8" w:rsidRPr="004B154C" w:rsidRDefault="006A69E8" w:rsidP="006A69E8">
      <w:pPr>
        <w:pStyle w:val="NoSpacing"/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</w:p>
    <w:p w:rsidR="006A69E8" w:rsidRPr="004B154C" w:rsidRDefault="006A69E8" w:rsidP="006A69E8">
      <w:pPr>
        <w:pStyle w:val="NoSpacing"/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  <w:r w:rsidRPr="004B154C">
        <w:rPr>
          <w:rFonts w:ascii="Times New Roman" w:hAnsi="Times New Roman" w:cs="Times New Roman"/>
          <w:lang w:val="en-US"/>
        </w:rPr>
        <w:t xml:space="preserve">2. </w:t>
      </w:r>
      <w:proofErr w:type="gramStart"/>
      <w:r w:rsidRPr="004B154C">
        <w:rPr>
          <w:rFonts w:ascii="Times New Roman" w:hAnsi="Times New Roman" w:cs="Times New Roman"/>
          <w:lang w:val="en-US"/>
        </w:rPr>
        <w:t>beta-blocker</w:t>
      </w:r>
      <w:proofErr w:type="gramEnd"/>
      <w:r w:rsidRPr="004B154C">
        <w:rPr>
          <w:rFonts w:ascii="Times New Roman" w:hAnsi="Times New Roman" w:cs="Times New Roman"/>
          <w:lang w:val="en-US"/>
        </w:rPr>
        <w:t xml:space="preserve">* OR b-blocker* OR beta-blocker* OR atenolol OR </w:t>
      </w:r>
      <w:proofErr w:type="spellStart"/>
      <w:r w:rsidRPr="004B154C">
        <w:rPr>
          <w:rFonts w:ascii="Times New Roman" w:hAnsi="Times New Roman" w:cs="Times New Roman"/>
          <w:lang w:val="en-US"/>
        </w:rPr>
        <w:t>metoprolol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4B154C">
        <w:rPr>
          <w:rFonts w:ascii="Times New Roman" w:hAnsi="Times New Roman" w:cs="Times New Roman"/>
          <w:lang w:val="en-US"/>
        </w:rPr>
        <w:t>pindolol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4B154C">
        <w:rPr>
          <w:rFonts w:ascii="Times New Roman" w:hAnsi="Times New Roman" w:cs="Times New Roman"/>
          <w:lang w:val="en-US"/>
        </w:rPr>
        <w:t>timolol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4B154C">
        <w:rPr>
          <w:rFonts w:ascii="Times New Roman" w:hAnsi="Times New Roman" w:cs="Times New Roman"/>
          <w:lang w:val="en-US"/>
        </w:rPr>
        <w:t>oxprenolol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4B154C">
        <w:rPr>
          <w:rFonts w:ascii="Times New Roman" w:hAnsi="Times New Roman" w:cs="Times New Roman"/>
          <w:lang w:val="en-US"/>
        </w:rPr>
        <w:t>nebivolol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4B154C">
        <w:rPr>
          <w:rFonts w:ascii="Times New Roman" w:hAnsi="Times New Roman" w:cs="Times New Roman"/>
          <w:lang w:val="en-US"/>
        </w:rPr>
        <w:t>nadolol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labetalol OR </w:t>
      </w:r>
      <w:proofErr w:type="spellStart"/>
      <w:r w:rsidRPr="004B154C">
        <w:rPr>
          <w:rFonts w:ascii="Times New Roman" w:hAnsi="Times New Roman" w:cs="Times New Roman"/>
          <w:lang w:val="en-US"/>
        </w:rPr>
        <w:t>celiprolol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4B154C">
        <w:rPr>
          <w:rFonts w:ascii="Times New Roman" w:hAnsi="Times New Roman" w:cs="Times New Roman"/>
          <w:lang w:val="en-US"/>
        </w:rPr>
        <w:t>carvedilol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4B154C">
        <w:rPr>
          <w:rFonts w:ascii="Times New Roman" w:hAnsi="Times New Roman" w:cs="Times New Roman"/>
          <w:lang w:val="en-US"/>
        </w:rPr>
        <w:t>bisoprolol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4B154C">
        <w:rPr>
          <w:rFonts w:ascii="Times New Roman" w:hAnsi="Times New Roman" w:cs="Times New Roman"/>
          <w:lang w:val="en-US"/>
        </w:rPr>
        <w:t>acebutolol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propranolol OR </w:t>
      </w:r>
      <w:proofErr w:type="spellStart"/>
      <w:r w:rsidRPr="004B154C">
        <w:rPr>
          <w:rFonts w:ascii="Times New Roman" w:hAnsi="Times New Roman" w:cs="Times New Roman"/>
          <w:lang w:val="en-US"/>
        </w:rPr>
        <w:t>alprenolol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adrenergic beta-antagonist* OR </w:t>
      </w:r>
      <w:proofErr w:type="spellStart"/>
      <w:r w:rsidRPr="004B154C">
        <w:rPr>
          <w:rFonts w:ascii="Times New Roman" w:hAnsi="Times New Roman" w:cs="Times New Roman"/>
          <w:lang w:val="en-US"/>
        </w:rPr>
        <w:t>xamoterol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4B154C">
        <w:rPr>
          <w:rFonts w:ascii="Times New Roman" w:hAnsi="Times New Roman" w:cs="Times New Roman"/>
          <w:lang w:val="en-US"/>
        </w:rPr>
        <w:t>sotalol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4B154C">
        <w:rPr>
          <w:rFonts w:ascii="Times New Roman" w:hAnsi="Times New Roman" w:cs="Times New Roman"/>
          <w:lang w:val="en-US"/>
        </w:rPr>
        <w:t>practolol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4B154C">
        <w:rPr>
          <w:rFonts w:ascii="Times New Roman" w:hAnsi="Times New Roman" w:cs="Times New Roman"/>
          <w:lang w:val="en-US"/>
        </w:rPr>
        <w:t>bisoprolol</w:t>
      </w:r>
      <w:proofErr w:type="spellEnd"/>
    </w:p>
    <w:p w:rsidR="006A69E8" w:rsidRPr="004B154C" w:rsidRDefault="006A69E8" w:rsidP="006A69E8">
      <w:pPr>
        <w:pStyle w:val="NoSpacing"/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</w:p>
    <w:p w:rsidR="006A69E8" w:rsidRPr="004B154C" w:rsidRDefault="006A69E8" w:rsidP="006A69E8">
      <w:pPr>
        <w:pStyle w:val="NoSpacing"/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  <w:r w:rsidRPr="004B154C">
        <w:rPr>
          <w:rFonts w:ascii="Times New Roman" w:hAnsi="Times New Roman" w:cs="Times New Roman"/>
          <w:lang w:val="en-US"/>
        </w:rPr>
        <w:t xml:space="preserve">3. Dementia OR Cognitive impairment OR </w:t>
      </w:r>
      <w:proofErr w:type="spellStart"/>
      <w:r w:rsidRPr="004B154C">
        <w:rPr>
          <w:rFonts w:ascii="Times New Roman" w:hAnsi="Times New Roman" w:cs="Times New Roman"/>
          <w:lang w:val="en-US"/>
        </w:rPr>
        <w:t>cogniti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* disorders OR delirium OR forgetfulness OR memory impairment OR </w:t>
      </w:r>
      <w:proofErr w:type="spellStart"/>
      <w:r w:rsidRPr="004B154C">
        <w:rPr>
          <w:rFonts w:ascii="Times New Roman" w:hAnsi="Times New Roman" w:cs="Times New Roman"/>
          <w:lang w:val="en-US"/>
        </w:rPr>
        <w:t>alzheimers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4B154C">
        <w:rPr>
          <w:rFonts w:ascii="Times New Roman" w:hAnsi="Times New Roman" w:cs="Times New Roman"/>
          <w:lang w:val="en-US"/>
        </w:rPr>
        <w:t>lewy</w:t>
      </w:r>
      <w:proofErr w:type="spellEnd"/>
      <w:r w:rsidRPr="004B154C">
        <w:rPr>
          <w:rFonts w:ascii="Times New Roman" w:hAnsi="Times New Roman" w:cs="Times New Roman"/>
          <w:lang w:val="en-US"/>
        </w:rPr>
        <w:t xml:space="preserve"> body </w:t>
      </w:r>
    </w:p>
    <w:p w:rsidR="006A69E8" w:rsidRPr="004B154C" w:rsidRDefault="006A69E8" w:rsidP="006A69E8">
      <w:pPr>
        <w:pStyle w:val="NoSpacing"/>
        <w:tabs>
          <w:tab w:val="left" w:pos="360"/>
        </w:tabs>
        <w:rPr>
          <w:rFonts w:ascii="Times New Roman" w:hAnsi="Times New Roman" w:cs="Times New Roman"/>
          <w:lang w:val="en-US"/>
        </w:rPr>
      </w:pPr>
    </w:p>
    <w:p w:rsidR="006A69E8" w:rsidRPr="004B154C" w:rsidRDefault="006A69E8" w:rsidP="006A69E8">
      <w:pPr>
        <w:pStyle w:val="NoSpacing"/>
        <w:tabs>
          <w:tab w:val="left" w:pos="360"/>
        </w:tabs>
        <w:rPr>
          <w:rFonts w:ascii="Times New Roman" w:hAnsi="Times New Roman" w:cs="Times New Roman"/>
          <w:lang w:val="en-US"/>
        </w:rPr>
        <w:sectPr w:rsidR="006A69E8" w:rsidRPr="004B154C" w:rsidSect="004B154C"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:rsidR="006A69E8" w:rsidRPr="004B154C" w:rsidRDefault="006A69E8" w:rsidP="006A69E8">
      <w:pPr>
        <w:pStyle w:val="NoSpacing"/>
        <w:tabs>
          <w:tab w:val="left" w:pos="360"/>
        </w:tabs>
        <w:rPr>
          <w:rFonts w:ascii="Times New Roman" w:hAnsi="Times New Roman" w:cs="Times New Roman"/>
          <w:lang w:val="en-US"/>
        </w:rPr>
      </w:pPr>
      <w:proofErr w:type="gramStart"/>
      <w:r w:rsidRPr="00426D78">
        <w:rPr>
          <w:rFonts w:ascii="Times New Roman" w:hAnsi="Times New Roman" w:cs="Times New Roman"/>
          <w:b/>
          <w:lang w:val="en-US"/>
        </w:rPr>
        <w:lastRenderedPageBreak/>
        <w:t>Supplementary Table 1.</w:t>
      </w:r>
      <w:proofErr w:type="gramEnd"/>
      <w:r w:rsidRPr="004B154C">
        <w:rPr>
          <w:rFonts w:ascii="Times New Roman" w:hAnsi="Times New Roman" w:cs="Times New Roman"/>
          <w:lang w:val="en-US"/>
        </w:rPr>
        <w:t xml:space="preserve"> Newcastle-Ottawa assessment of observational study quality</w:t>
      </w:r>
    </w:p>
    <w:p w:rsidR="006A69E8" w:rsidRPr="004B154C" w:rsidRDefault="006A69E8" w:rsidP="006A69E8">
      <w:pPr>
        <w:pStyle w:val="NoSpacing"/>
        <w:tabs>
          <w:tab w:val="left" w:pos="360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461" w:type="dxa"/>
        <w:jc w:val="center"/>
        <w:tblLook w:val="04A0" w:firstRow="1" w:lastRow="0" w:firstColumn="1" w:lastColumn="0" w:noHBand="0" w:noVBand="1"/>
      </w:tblPr>
      <w:tblGrid>
        <w:gridCol w:w="1255"/>
        <w:gridCol w:w="2545"/>
        <w:gridCol w:w="1530"/>
        <w:gridCol w:w="1276"/>
        <w:gridCol w:w="1417"/>
        <w:gridCol w:w="2127"/>
        <w:gridCol w:w="1190"/>
        <w:gridCol w:w="1418"/>
        <w:gridCol w:w="1286"/>
        <w:gridCol w:w="1417"/>
      </w:tblGrid>
      <w:tr w:rsidR="006A69E8" w:rsidRPr="004B154C" w:rsidTr="00597095">
        <w:trPr>
          <w:trHeight w:val="6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Study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Representativeness of exposed cohort 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Selection of the non-exposed cohort from the same source as the exposed cohort 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Ascertainment of Exposure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Demonstration that outcome of interest was not present at the start of study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Comparability of cohorts 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Assessment of outcome 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Follow-up long enough for outcome to occur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Adequacy of Follow-up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Quality Score 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A69E8" w:rsidRPr="004B154C" w:rsidTr="00597095">
        <w:trPr>
          <w:trHeight w:val="63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Sloan et al. (Medicare Study) [15]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Participants were truly representative of the Medicare patients with acute MI in USA </w:t>
            </w:r>
            <w:proofErr w:type="gramStart"/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between 1994-1995 due to large sample size</w:t>
            </w:r>
            <w:proofErr w:type="gramEnd"/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&gt;200 thousand obtained from 46 states. Taken from 2 data abstraction centers with high degree of consistency in abstraction.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(star)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Same source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Secure record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All outcomes defined post study entry 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Blocks of explanatory variables were included for </w:t>
            </w:r>
            <w:proofErr w:type="spellStart"/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sociodemographic</w:t>
            </w:r>
            <w:proofErr w:type="spellEnd"/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characteristics (including age and sex), admission source, co-morbidities and severity of cardiac illness. - Simple regression but not propensity matching performed.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From records on same two data sources, record linkage performed 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One year follow up with large sample size 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All participants results were noted but a significant number of records had missing information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Selection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= 4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Comparability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=1 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Outcome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=2 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Overall rating = </w:t>
            </w:r>
            <w:r w:rsidRPr="004B15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FAIR</w:t>
            </w:r>
          </w:p>
        </w:tc>
      </w:tr>
      <w:tr w:rsidR="006A69E8" w:rsidRPr="004B154C" w:rsidTr="00597095">
        <w:trPr>
          <w:trHeight w:val="1034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Steinman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et al.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(Nursing </w:t>
            </w: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Home Study) [16]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Participants were truly representative of NH residents in the USA as they obtained data from OSCAR which assesses nearly all nursing homes in the USA and is updated at a minimum every three months. 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Same source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Secure record used as national database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Comparison of start and end point for each patient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Propensity scoring was used to assess for 93 variables to predict beta-blocker use, and this yielded excellent covariate balance. 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From record on same database 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 month and large enough sample size to produce statistically significant results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All participants were followed up but individuals who died or were re-hospitalized at 14 days were excluded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Selection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= 4 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Comparability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= 2 (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Outcome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= 2</w:t>
            </w:r>
            <w:r w:rsidRPr="004B15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(star)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Overall rating </w:t>
            </w:r>
          </w:p>
          <w:p w:rsidR="006A69E8" w:rsidRPr="004B154C" w:rsidRDefault="006A69E8" w:rsidP="005970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15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= </w:t>
            </w:r>
            <w:r w:rsidRPr="004B15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GOOD</w:t>
            </w:r>
          </w:p>
        </w:tc>
      </w:tr>
    </w:tbl>
    <w:p w:rsidR="006A69E8" w:rsidRPr="004B154C" w:rsidRDefault="006A69E8" w:rsidP="006A69E8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</w:p>
    <w:p w:rsidR="001507B1" w:rsidRDefault="001507B1">
      <w:bookmarkStart w:id="0" w:name="_GoBack"/>
      <w:bookmarkEnd w:id="0"/>
    </w:p>
    <w:sectPr w:rsidR="001507B1" w:rsidSect="009F526D">
      <w:pgSz w:w="16840" w:h="1190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8"/>
    <w:rsid w:val="001507B1"/>
    <w:rsid w:val="006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E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69E8"/>
    <w:pPr>
      <w:spacing w:after="0" w:line="240" w:lineRule="auto"/>
    </w:pPr>
    <w:rPr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69E8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E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69E8"/>
    <w:pPr>
      <w:spacing w:after="0" w:line="240" w:lineRule="auto"/>
    </w:pPr>
    <w:rPr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69E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2019-08-28T11:08:00Z</dcterms:created>
  <dcterms:modified xsi:type="dcterms:W3CDTF">2019-08-28T11:09:00Z</dcterms:modified>
</cp:coreProperties>
</file>