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97" w:rsidRPr="00AF1597" w:rsidRDefault="00364097" w:rsidP="00364097">
      <w:pPr>
        <w:pStyle w:val="Heading1"/>
        <w:tabs>
          <w:tab w:val="left" w:pos="360"/>
        </w:tabs>
        <w:spacing w:before="0" w:after="0"/>
        <w:rPr>
          <w:rFonts w:ascii="Times New Roman" w:hAnsi="Times New Roman"/>
          <w:b/>
          <w:color w:val="000000"/>
          <w:sz w:val="40"/>
          <w:szCs w:val="40"/>
          <w:lang w:val="en-US"/>
        </w:rPr>
      </w:pPr>
      <w:r w:rsidRPr="00AF1597">
        <w:rPr>
          <w:rFonts w:ascii="Times New Roman" w:hAnsi="Times New Roman"/>
          <w:b/>
          <w:color w:val="000000"/>
          <w:sz w:val="40"/>
          <w:szCs w:val="40"/>
          <w:lang w:val="en-US"/>
        </w:rPr>
        <w:t>Supplementary Material</w:t>
      </w:r>
    </w:p>
    <w:p w:rsidR="00364097" w:rsidRPr="00F46081" w:rsidRDefault="00364097" w:rsidP="00364097">
      <w:pPr>
        <w:spacing w:after="0" w:line="240" w:lineRule="auto"/>
        <w:rPr>
          <w:lang w:val="en-US"/>
        </w:rPr>
      </w:pP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t>Orthostatic Hypotension: An Important Risk Factor for Clinical Progression to Mild Cognitive Impairment or Dementia. The Amsterdam Dementia Cohort</w:t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t>Supplementary Table 1.</w:t>
      </w:r>
      <w:proofErr w:type="gram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Baseline characteristics in older adults included (n=476) and not included (n=1,406) in the longitudinal analyses.</w:t>
      </w:r>
    </w:p>
    <w:tbl>
      <w:tblPr>
        <w:tblW w:w="4868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79"/>
        <w:gridCol w:w="2215"/>
        <w:gridCol w:w="2494"/>
        <w:gridCol w:w="653"/>
      </w:tblGrid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Subjects included in longitudinal analyses (n=476)</w:t>
            </w: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Subjects not included in longitudinal analyses (n=365)</w:t>
            </w: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Demographics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Age, y (mean, SD)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63.3 (7.4)</w:t>
            </w: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59.8 (9.2)</w:t>
            </w: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Gender (% female)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36.3</w:t>
            </w: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37.8</w:t>
            </w: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0.66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CV risk factors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BMI (mean, SD)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26.4 (4.2)</w:t>
            </w: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27.1 (4.4)</w:t>
            </w: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0.03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Current smoker (%)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14.9</w:t>
            </w: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19.8</w:t>
            </w: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0.18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Hypertension (%)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29.0</w:t>
            </w: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26.0</w:t>
            </w: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0.34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Diabetes (%)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12.0</w:t>
            </w: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11.8</w:t>
            </w: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0.93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Hypercholesterolemia (%)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11.1</w:t>
            </w: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8.5</w:t>
            </w: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0.21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SBP (mean, SD)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147 (19)</w:t>
            </w: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145 (20)</w:t>
            </w: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0.09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DBP (mean, SD)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 (10)</w:t>
            </w: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 (10)</w:t>
            </w: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0.10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Cardiovascular disease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Stroke, TIA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8.4</w:t>
            </w: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7.1</w:t>
            </w: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0.49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Coronary artery disease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8.0</w:t>
            </w: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0.35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Medication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Total number of drugs (mean, SD)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2.4 (2.6)</w:t>
            </w: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2.4 (2.6)</w:t>
            </w: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0.90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CVRM drugs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Antihypertensive drugs (%)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35.3</w:t>
            </w: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32.9</w:t>
            </w: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0.43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Lipid lowering drugs (%)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29.6</w:t>
            </w: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22.2</w:t>
            </w: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0.02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Antidiabetic</w:t>
            </w:r>
            <w:proofErr w:type="spellEnd"/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drugs (%)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10.3</w:t>
            </w: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9.9</w:t>
            </w: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0.84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OH-inducing drugs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Antipsychotics (%)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0.03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Antidepressant drugs (%)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10.1</w:t>
            </w: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10.1</w:t>
            </w: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0.98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Alpha-blockers (%)</w:t>
            </w:r>
          </w:p>
        </w:tc>
        <w:tc>
          <w:tcPr>
            <w:tcW w:w="122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137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36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0.95</w:t>
            </w:r>
          </w:p>
        </w:tc>
      </w:tr>
      <w:tr w:rsidR="00364097" w:rsidRPr="00AF1597" w:rsidTr="00583B7C">
        <w:tc>
          <w:tcPr>
            <w:tcW w:w="203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Long-acting nitrates (%)</w:t>
            </w:r>
          </w:p>
        </w:tc>
        <w:tc>
          <w:tcPr>
            <w:tcW w:w="122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137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36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1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0.74</w:t>
            </w:r>
          </w:p>
        </w:tc>
      </w:tr>
    </w:tbl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CV, cardiovascular; BMI, body mass index; SBP, systolic blood pressure; DBP, diastolic blood pressure; TIA, transient ischemic accident; CVRM, cardiovascular risk management; OH, orthostatic hypotension.</w:t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br w:type="page"/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Supplementary Table 2.</w:t>
      </w:r>
      <w:proofErr w:type="gram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Number (%) of subjects with SCD or patients with MCI converting to MCI and/or dementia.</w:t>
      </w:r>
      <w:proofErr w:type="gramEnd"/>
    </w:p>
    <w:tbl>
      <w:tblPr>
        <w:tblW w:w="446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308"/>
        <w:gridCol w:w="1294"/>
        <w:gridCol w:w="1379"/>
        <w:gridCol w:w="1105"/>
        <w:gridCol w:w="1105"/>
        <w:gridCol w:w="1105"/>
      </w:tblGrid>
      <w:tr w:rsidR="00364097" w:rsidRPr="00AF1597" w:rsidTr="00583B7C">
        <w:trPr>
          <w:trHeight w:val="406"/>
        </w:trPr>
        <w:tc>
          <w:tcPr>
            <w:tcW w:w="1391" w:type="pct"/>
            <w:shd w:val="clear" w:color="auto" w:fill="auto"/>
            <w:hideMark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780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MCI</w:t>
            </w:r>
          </w:p>
        </w:tc>
        <w:tc>
          <w:tcPr>
            <w:tcW w:w="83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AD</w:t>
            </w:r>
          </w:p>
        </w:tc>
        <w:tc>
          <w:tcPr>
            <w:tcW w:w="666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FTD</w:t>
            </w:r>
          </w:p>
        </w:tc>
        <w:tc>
          <w:tcPr>
            <w:tcW w:w="666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</w:pPr>
            <w:proofErr w:type="spellStart"/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VaD</w:t>
            </w:r>
            <w:proofErr w:type="spellEnd"/>
          </w:p>
        </w:tc>
        <w:tc>
          <w:tcPr>
            <w:tcW w:w="666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DLB</w:t>
            </w:r>
          </w:p>
        </w:tc>
      </w:tr>
      <w:tr w:rsidR="00364097" w:rsidRPr="00AF1597" w:rsidTr="00583B7C">
        <w:trPr>
          <w:trHeight w:val="406"/>
        </w:trPr>
        <w:tc>
          <w:tcPr>
            <w:tcW w:w="139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Subjects with SCD</w:t>
            </w:r>
          </w:p>
        </w:tc>
        <w:tc>
          <w:tcPr>
            <w:tcW w:w="780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13 (7.3%)</w:t>
            </w:r>
          </w:p>
        </w:tc>
        <w:tc>
          <w:tcPr>
            <w:tcW w:w="83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8 (3.8%)</w:t>
            </w:r>
          </w:p>
        </w:tc>
        <w:tc>
          <w:tcPr>
            <w:tcW w:w="666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 (0.6%)</w:t>
            </w:r>
          </w:p>
        </w:tc>
        <w:tc>
          <w:tcPr>
            <w:tcW w:w="666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 (0.6%)</w:t>
            </w:r>
          </w:p>
        </w:tc>
        <w:tc>
          <w:tcPr>
            <w:tcW w:w="666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0</w:t>
            </w:r>
          </w:p>
        </w:tc>
      </w:tr>
      <w:tr w:rsidR="00364097" w:rsidRPr="00AF1597" w:rsidTr="00583B7C">
        <w:trPr>
          <w:trHeight w:val="406"/>
        </w:trPr>
        <w:tc>
          <w:tcPr>
            <w:tcW w:w="139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Patients with MCI</w:t>
            </w:r>
          </w:p>
        </w:tc>
        <w:tc>
          <w:tcPr>
            <w:tcW w:w="780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-</w:t>
            </w:r>
          </w:p>
        </w:tc>
        <w:tc>
          <w:tcPr>
            <w:tcW w:w="83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44 (21.2%)</w:t>
            </w:r>
          </w:p>
        </w:tc>
        <w:tc>
          <w:tcPr>
            <w:tcW w:w="666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7 (3.4%)</w:t>
            </w:r>
          </w:p>
        </w:tc>
        <w:tc>
          <w:tcPr>
            <w:tcW w:w="666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2 (1%)</w:t>
            </w:r>
          </w:p>
        </w:tc>
        <w:tc>
          <w:tcPr>
            <w:tcW w:w="666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 (0.3%)</w:t>
            </w:r>
          </w:p>
        </w:tc>
      </w:tr>
    </w:tbl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SCD, subjective cognitive decline; MCI, mild cognitive impairment; AD, Alzheimer’s disease; </w:t>
      </w:r>
      <w:proofErr w:type="spell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VaD</w:t>
      </w:r>
      <w:proofErr w:type="spell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, vascular dementia; FTD, </w:t>
      </w:r>
      <w:proofErr w:type="spell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frontotemporal</w:t>
      </w:r>
      <w:proofErr w:type="spell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dementia; DLB= </w:t>
      </w:r>
      <w:proofErr w:type="spell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Lewy</w:t>
      </w:r>
      <w:proofErr w:type="spell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body dementia.</w:t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br w:type="page"/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  <w:proofErr w:type="gramStart"/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Supplementary Table 3a.</w:t>
      </w:r>
      <w:proofErr w:type="gramEnd"/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Odds (95% CI) of having orthostatic hypotension (OH) in subjects with MCI, and patients with dementia compared to subjects with SCD.</w:t>
      </w:r>
      <w:proofErr w:type="gram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Stratified according to diagnosis of hypertension and/ or use of OH-inducing drugs.</w:t>
      </w:r>
      <w:proofErr w:type="gramEnd"/>
    </w:p>
    <w:tbl>
      <w:tblPr>
        <w:tblW w:w="4666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208"/>
        <w:gridCol w:w="3134"/>
        <w:gridCol w:w="3324"/>
      </w:tblGrid>
      <w:tr w:rsidR="00364097" w:rsidRPr="00AF1597" w:rsidTr="00583B7C">
        <w:trPr>
          <w:trHeight w:val="63"/>
        </w:trPr>
        <w:tc>
          <w:tcPr>
            <w:tcW w:w="1274" w:type="pct"/>
            <w:shd w:val="clear" w:color="auto" w:fill="auto"/>
            <w:hideMark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3726" w:type="pct"/>
            <w:gridSpan w:val="2"/>
            <w:shd w:val="clear" w:color="auto" w:fill="auto"/>
            <w:hideMark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Model 1</w:t>
            </w: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val="en-US" w:eastAsia="nl-NL"/>
              </w:rPr>
              <w:t>a</w:t>
            </w:r>
          </w:p>
        </w:tc>
      </w:tr>
      <w:tr w:rsidR="00364097" w:rsidRPr="00AF1597" w:rsidTr="00583B7C">
        <w:trPr>
          <w:trHeight w:val="63"/>
        </w:trPr>
        <w:tc>
          <w:tcPr>
            <w:tcW w:w="1274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1808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Patients </w:t>
            </w: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with</w:t>
            </w: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 hypertension and/or taking OH-inducing drugs (n=791)</w:t>
            </w:r>
          </w:p>
        </w:tc>
        <w:tc>
          <w:tcPr>
            <w:tcW w:w="1918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Patients </w:t>
            </w: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without</w:t>
            </w: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 hypertension and not taking OH-inducing drugs (n=1,090)</w:t>
            </w:r>
          </w:p>
        </w:tc>
      </w:tr>
      <w:tr w:rsidR="00364097" w:rsidRPr="00AF1597" w:rsidTr="00583B7C">
        <w:trPr>
          <w:trHeight w:val="63"/>
        </w:trPr>
        <w:tc>
          <w:tcPr>
            <w:tcW w:w="1274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nl-NL"/>
              </w:rPr>
              <w:t xml:space="preserve">Subjects with SCD </w:t>
            </w:r>
          </w:p>
        </w:tc>
        <w:tc>
          <w:tcPr>
            <w:tcW w:w="1808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1.0 (reference)</w:t>
            </w:r>
          </w:p>
        </w:tc>
        <w:tc>
          <w:tcPr>
            <w:tcW w:w="1918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1.0 (reference)</w:t>
            </w:r>
          </w:p>
        </w:tc>
      </w:tr>
      <w:tr w:rsidR="00364097" w:rsidRPr="00AF1597" w:rsidTr="00583B7C">
        <w:trPr>
          <w:trHeight w:val="63"/>
        </w:trPr>
        <w:tc>
          <w:tcPr>
            <w:tcW w:w="1274" w:type="pct"/>
            <w:shd w:val="clear" w:color="auto" w:fill="F2F2F2"/>
            <w:hideMark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nl-NL"/>
              </w:rPr>
              <w:t xml:space="preserve">MCI </w:t>
            </w:r>
          </w:p>
        </w:tc>
        <w:tc>
          <w:tcPr>
            <w:tcW w:w="1808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1.5 (0.9-2.5)</w:t>
            </w:r>
          </w:p>
        </w:tc>
        <w:tc>
          <w:tcPr>
            <w:tcW w:w="1918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1.3 (0.9-2.1)</w:t>
            </w:r>
          </w:p>
        </w:tc>
      </w:tr>
      <w:tr w:rsidR="00364097" w:rsidRPr="00AF1597" w:rsidTr="00583B7C">
        <w:trPr>
          <w:trHeight w:val="63"/>
        </w:trPr>
        <w:tc>
          <w:tcPr>
            <w:tcW w:w="1274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 xml:space="preserve">AD </w:t>
            </w:r>
          </w:p>
        </w:tc>
        <w:tc>
          <w:tcPr>
            <w:tcW w:w="1808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1.7 (1.1-2.6)</w:t>
            </w:r>
          </w:p>
        </w:tc>
        <w:tc>
          <w:tcPr>
            <w:tcW w:w="1918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1.7 (1.2-2.5)</w:t>
            </w:r>
          </w:p>
        </w:tc>
      </w:tr>
      <w:tr w:rsidR="00364097" w:rsidRPr="00AF1597" w:rsidTr="00583B7C">
        <w:trPr>
          <w:trHeight w:val="63"/>
        </w:trPr>
        <w:tc>
          <w:tcPr>
            <w:tcW w:w="1274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 xml:space="preserve">FTD </w:t>
            </w:r>
          </w:p>
        </w:tc>
        <w:tc>
          <w:tcPr>
            <w:tcW w:w="1808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1.6 (0.9-3.1)</w:t>
            </w:r>
          </w:p>
        </w:tc>
        <w:tc>
          <w:tcPr>
            <w:tcW w:w="1918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1.7 (1.0-3.1)</w:t>
            </w:r>
          </w:p>
        </w:tc>
      </w:tr>
      <w:tr w:rsidR="00364097" w:rsidRPr="00AF1597" w:rsidTr="00583B7C">
        <w:trPr>
          <w:trHeight w:val="63"/>
        </w:trPr>
        <w:tc>
          <w:tcPr>
            <w:tcW w:w="1274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proofErr w:type="spellStart"/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VaD</w:t>
            </w:r>
            <w:proofErr w:type="spellEnd"/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808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2.1 (1.0-4.7)</w:t>
            </w:r>
          </w:p>
        </w:tc>
        <w:tc>
          <w:tcPr>
            <w:tcW w:w="1918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3.1 (1.1-8.7)</w:t>
            </w:r>
          </w:p>
        </w:tc>
      </w:tr>
      <w:tr w:rsidR="00364097" w:rsidRPr="00AF1597" w:rsidTr="00583B7C">
        <w:trPr>
          <w:trHeight w:val="307"/>
        </w:trPr>
        <w:tc>
          <w:tcPr>
            <w:tcW w:w="1274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DLB</w:t>
            </w:r>
          </w:p>
        </w:tc>
        <w:tc>
          <w:tcPr>
            <w:tcW w:w="1808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5.2 (2.4-11.3)</w:t>
            </w:r>
          </w:p>
        </w:tc>
        <w:tc>
          <w:tcPr>
            <w:tcW w:w="1918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5.1 (2.6-9.7)</w:t>
            </w:r>
          </w:p>
        </w:tc>
      </w:tr>
    </w:tbl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SCD, subjective cognitive decline; MCI, mild cognitive impairment; AD, Alzheimer’s disease; </w:t>
      </w:r>
      <w:proofErr w:type="spell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VaD</w:t>
      </w:r>
      <w:proofErr w:type="spell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, vascular dementia; FTD, </w:t>
      </w:r>
      <w:proofErr w:type="spell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frontotemporal</w:t>
      </w:r>
      <w:proofErr w:type="spell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dementia; DLB, </w:t>
      </w:r>
      <w:proofErr w:type="spell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Lewy</w:t>
      </w:r>
      <w:proofErr w:type="spell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body dementia.</w:t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F1597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a</w:t>
      </w:r>
      <w:proofErr w:type="spellEnd"/>
      <w:proofErr w:type="gram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Adjusted for age, sex.</w:t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br w:type="page"/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proofErr w:type="gramStart"/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Supplementary Table 3b.</w:t>
      </w:r>
      <w:proofErr w:type="gramEnd"/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Odds (95% CI) of having early or delayed orthostatic hypotension (OH) compared to subjects without OH in subjects with MCI, and patients with dementia.</w:t>
      </w:r>
      <w:proofErr w:type="gram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Stratified according to diagnosis of hypertension and/ or use of OH-inducing drugs.</w:t>
      </w:r>
      <w:proofErr w:type="gram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tbl>
      <w:tblPr>
        <w:tblW w:w="518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129"/>
        <w:gridCol w:w="1649"/>
        <w:gridCol w:w="1891"/>
        <w:gridCol w:w="102"/>
        <w:gridCol w:w="2024"/>
        <w:gridCol w:w="1835"/>
      </w:tblGrid>
      <w:tr w:rsidR="00364097" w:rsidRPr="00AF1597" w:rsidTr="00583B7C">
        <w:trPr>
          <w:trHeight w:val="523"/>
        </w:trPr>
        <w:tc>
          <w:tcPr>
            <w:tcW w:w="110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US" w:eastAsia="nl-NL"/>
              </w:rPr>
            </w:pPr>
          </w:p>
        </w:tc>
        <w:tc>
          <w:tcPr>
            <w:tcW w:w="1891" w:type="pct"/>
            <w:gridSpan w:val="3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Cs/>
                <w:color w:val="000000"/>
                <w:kern w:val="24"/>
                <w:lang w:val="en-US" w:eastAsia="nl-NL"/>
              </w:rPr>
              <w:t xml:space="preserve">Patients </w:t>
            </w: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val="en-US" w:eastAsia="nl-NL"/>
              </w:rPr>
              <w:t>with</w:t>
            </w:r>
            <w:r w:rsidRPr="00AF1597">
              <w:rPr>
                <w:rFonts w:ascii="Times New Roman" w:eastAsia="Times New Roman" w:hAnsi="Times New Roman"/>
                <w:bCs/>
                <w:color w:val="000000"/>
                <w:kern w:val="24"/>
                <w:lang w:val="en-US" w:eastAsia="nl-NL"/>
              </w:rPr>
              <w:t xml:space="preserve"> hypertension and/or taking OH-inducing drugs (n=791)</w:t>
            </w:r>
          </w:p>
        </w:tc>
        <w:tc>
          <w:tcPr>
            <w:tcW w:w="2004" w:type="pct"/>
            <w:gridSpan w:val="2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Cs/>
                <w:color w:val="000000"/>
                <w:kern w:val="24"/>
                <w:lang w:val="en-US" w:eastAsia="nl-NL"/>
              </w:rPr>
              <w:t xml:space="preserve">Patients </w:t>
            </w: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val="en-US" w:eastAsia="nl-NL"/>
              </w:rPr>
              <w:t xml:space="preserve">without </w:t>
            </w:r>
            <w:r w:rsidRPr="00AF1597">
              <w:rPr>
                <w:rFonts w:ascii="Times New Roman" w:eastAsia="Times New Roman" w:hAnsi="Times New Roman"/>
                <w:bCs/>
                <w:color w:val="000000"/>
                <w:kern w:val="24"/>
                <w:lang w:val="en-US" w:eastAsia="nl-NL"/>
              </w:rPr>
              <w:t>hypertension and not taking OH-inducing drugs (n=1,090)</w:t>
            </w:r>
          </w:p>
        </w:tc>
      </w:tr>
      <w:tr w:rsidR="00364097" w:rsidRPr="00AF1597" w:rsidTr="00583B7C">
        <w:trPr>
          <w:trHeight w:val="63"/>
        </w:trPr>
        <w:tc>
          <w:tcPr>
            <w:tcW w:w="110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eastAsia="nl-NL"/>
              </w:rPr>
            </w:pPr>
          </w:p>
        </w:tc>
        <w:tc>
          <w:tcPr>
            <w:tcW w:w="856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Early OH</w:t>
            </w:r>
          </w:p>
        </w:tc>
        <w:tc>
          <w:tcPr>
            <w:tcW w:w="982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 xml:space="preserve">Delayed, </w:t>
            </w:r>
            <w:r w:rsidRPr="00AF1597">
              <w:rPr>
                <w:rFonts w:ascii="Times New Roman" w:hAnsi="Times New Roman"/>
                <w:color w:val="000000"/>
                <w:lang w:val="en-US"/>
              </w:rPr>
              <w:t>prolonged</w:t>
            </w: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 xml:space="preserve"> OH</w:t>
            </w:r>
          </w:p>
        </w:tc>
        <w:tc>
          <w:tcPr>
            <w:tcW w:w="1104" w:type="pct"/>
            <w:gridSpan w:val="2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Early OH</w:t>
            </w:r>
          </w:p>
        </w:tc>
        <w:tc>
          <w:tcPr>
            <w:tcW w:w="953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 xml:space="preserve">Delayed, </w:t>
            </w:r>
            <w:r w:rsidRPr="00AF1597">
              <w:rPr>
                <w:rFonts w:ascii="Times New Roman" w:hAnsi="Times New Roman"/>
                <w:color w:val="000000"/>
                <w:lang w:val="en-US"/>
              </w:rPr>
              <w:t>prolonged</w:t>
            </w: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 xml:space="preserve"> OH</w:t>
            </w:r>
          </w:p>
        </w:tc>
      </w:tr>
      <w:tr w:rsidR="00364097" w:rsidRPr="00AF1597" w:rsidTr="00583B7C">
        <w:trPr>
          <w:trHeight w:val="63"/>
        </w:trPr>
        <w:tc>
          <w:tcPr>
            <w:tcW w:w="110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lang w:val="en-US" w:eastAsia="nl-NL"/>
              </w:rPr>
              <w:t xml:space="preserve">Subjects with SCD </w:t>
            </w:r>
          </w:p>
        </w:tc>
        <w:tc>
          <w:tcPr>
            <w:tcW w:w="856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1.0 (reference)</w:t>
            </w:r>
          </w:p>
        </w:tc>
        <w:tc>
          <w:tcPr>
            <w:tcW w:w="982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1.0 (reference)</w:t>
            </w:r>
          </w:p>
        </w:tc>
        <w:tc>
          <w:tcPr>
            <w:tcW w:w="1104" w:type="pct"/>
            <w:gridSpan w:val="2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1.0 (reference)</w:t>
            </w:r>
          </w:p>
        </w:tc>
        <w:tc>
          <w:tcPr>
            <w:tcW w:w="953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1.0 (reference)</w:t>
            </w:r>
          </w:p>
        </w:tc>
      </w:tr>
      <w:tr w:rsidR="00364097" w:rsidRPr="00AF1597" w:rsidTr="00583B7C">
        <w:trPr>
          <w:trHeight w:val="63"/>
        </w:trPr>
        <w:tc>
          <w:tcPr>
            <w:tcW w:w="110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lang w:val="en-US" w:eastAsia="nl-NL"/>
              </w:rPr>
              <w:t xml:space="preserve">MCI </w:t>
            </w:r>
          </w:p>
        </w:tc>
        <w:tc>
          <w:tcPr>
            <w:tcW w:w="856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lang w:val="en-US" w:eastAsia="nl-NL"/>
              </w:rPr>
              <w:t>1.0 (0.2-5.2)</w:t>
            </w:r>
          </w:p>
        </w:tc>
        <w:tc>
          <w:tcPr>
            <w:tcW w:w="982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lang w:val="en-US" w:eastAsia="nl-NL"/>
              </w:rPr>
              <w:t>1.7 (0.9-3.0)</w:t>
            </w:r>
          </w:p>
        </w:tc>
        <w:tc>
          <w:tcPr>
            <w:tcW w:w="1104" w:type="pct"/>
            <w:gridSpan w:val="2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lang w:val="en-US" w:eastAsia="nl-NL"/>
              </w:rPr>
              <w:t>1.0 (0.2-5.2)</w:t>
            </w:r>
          </w:p>
        </w:tc>
        <w:tc>
          <w:tcPr>
            <w:tcW w:w="953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lang w:val="en-US" w:eastAsia="nl-NL"/>
              </w:rPr>
              <w:t>1.4 (0.8-2.4)</w:t>
            </w:r>
          </w:p>
        </w:tc>
      </w:tr>
      <w:tr w:rsidR="00364097" w:rsidRPr="00AF1597" w:rsidTr="00583B7C">
        <w:trPr>
          <w:trHeight w:val="63"/>
        </w:trPr>
        <w:tc>
          <w:tcPr>
            <w:tcW w:w="110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lang w:val="en-US" w:eastAsia="nl-NL"/>
              </w:rPr>
              <w:t xml:space="preserve">AD </w:t>
            </w:r>
          </w:p>
        </w:tc>
        <w:tc>
          <w:tcPr>
            <w:tcW w:w="856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0.8 (.02-3.8)</w:t>
            </w:r>
          </w:p>
        </w:tc>
        <w:tc>
          <w:tcPr>
            <w:tcW w:w="982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1.7 (1.0-2.9)</w:t>
            </w:r>
          </w:p>
        </w:tc>
        <w:tc>
          <w:tcPr>
            <w:tcW w:w="1104" w:type="pct"/>
            <w:gridSpan w:val="2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0.8 (0.2-3.8)</w:t>
            </w:r>
          </w:p>
        </w:tc>
        <w:tc>
          <w:tcPr>
            <w:tcW w:w="953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1.9 (1.2-3.0)</w:t>
            </w:r>
          </w:p>
        </w:tc>
      </w:tr>
      <w:tr w:rsidR="00364097" w:rsidRPr="00AF1597" w:rsidTr="00583B7C">
        <w:trPr>
          <w:trHeight w:val="63"/>
        </w:trPr>
        <w:tc>
          <w:tcPr>
            <w:tcW w:w="110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lang w:val="en-US" w:eastAsia="nl-NL"/>
              </w:rPr>
              <w:t xml:space="preserve">FTD </w:t>
            </w:r>
          </w:p>
        </w:tc>
        <w:tc>
          <w:tcPr>
            <w:tcW w:w="856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0.7 (0.2-2.5)</w:t>
            </w:r>
          </w:p>
        </w:tc>
        <w:tc>
          <w:tcPr>
            <w:tcW w:w="982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2.2 (1.1-4.4)</w:t>
            </w:r>
          </w:p>
        </w:tc>
        <w:tc>
          <w:tcPr>
            <w:tcW w:w="1104" w:type="pct"/>
            <w:gridSpan w:val="2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0.7 (0.2-2.5)</w:t>
            </w:r>
          </w:p>
        </w:tc>
        <w:tc>
          <w:tcPr>
            <w:tcW w:w="953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2.2 (1.2-4.2)</w:t>
            </w:r>
          </w:p>
        </w:tc>
      </w:tr>
      <w:tr w:rsidR="00364097" w:rsidRPr="00AF1597" w:rsidTr="00583B7C">
        <w:trPr>
          <w:trHeight w:val="63"/>
        </w:trPr>
        <w:tc>
          <w:tcPr>
            <w:tcW w:w="110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lang w:val="en-US" w:eastAsia="nl-NL"/>
              </w:rPr>
            </w:pPr>
            <w:proofErr w:type="spellStart"/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lang w:val="en-US" w:eastAsia="nl-NL"/>
              </w:rPr>
              <w:t>VaD</w:t>
            </w:r>
            <w:proofErr w:type="spellEnd"/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lang w:val="en-US" w:eastAsia="nl-NL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0.8 (0.2-3.8)</w:t>
            </w:r>
          </w:p>
        </w:tc>
        <w:tc>
          <w:tcPr>
            <w:tcW w:w="982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2.9 (1.2-6.9)</w:t>
            </w:r>
          </w:p>
        </w:tc>
        <w:tc>
          <w:tcPr>
            <w:tcW w:w="1104" w:type="pct"/>
            <w:gridSpan w:val="2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1.5 (0.8-2.9)</w:t>
            </w:r>
          </w:p>
        </w:tc>
        <w:tc>
          <w:tcPr>
            <w:tcW w:w="953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4.1 (1.4-12.5)</w:t>
            </w:r>
          </w:p>
        </w:tc>
      </w:tr>
      <w:tr w:rsidR="00364097" w:rsidRPr="00AF1597" w:rsidTr="00583B7C">
        <w:trPr>
          <w:trHeight w:val="63"/>
        </w:trPr>
        <w:tc>
          <w:tcPr>
            <w:tcW w:w="110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lang w:val="en-US" w:eastAsia="nl-NL"/>
              </w:rPr>
              <w:t>DLB</w:t>
            </w:r>
          </w:p>
        </w:tc>
        <w:tc>
          <w:tcPr>
            <w:tcW w:w="856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1.0 (0.2-5.3)</w:t>
            </w:r>
          </w:p>
        </w:tc>
        <w:tc>
          <w:tcPr>
            <w:tcW w:w="982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7.8 (3.4-17.7)</w:t>
            </w:r>
          </w:p>
        </w:tc>
        <w:tc>
          <w:tcPr>
            <w:tcW w:w="1104" w:type="pct"/>
            <w:gridSpan w:val="2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1.3 (0.6-2.8)</w:t>
            </w:r>
          </w:p>
        </w:tc>
        <w:tc>
          <w:tcPr>
            <w:tcW w:w="953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lang w:val="en-US" w:eastAsia="nl-NL"/>
              </w:rPr>
              <w:t>7.9 (4.0-15.8)</w:t>
            </w:r>
          </w:p>
        </w:tc>
      </w:tr>
    </w:tbl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AF1597">
        <w:rPr>
          <w:rFonts w:ascii="Times New Roman" w:hAnsi="Times New Roman"/>
          <w:color w:val="000000"/>
          <w:lang w:val="en-US"/>
        </w:rPr>
        <w:t xml:space="preserve">SCD, subjective cognitive decline; MCI, mild cognitive impairment; AD, Alzheimer’s disease; </w:t>
      </w:r>
      <w:proofErr w:type="spellStart"/>
      <w:r w:rsidRPr="00AF1597">
        <w:rPr>
          <w:rFonts w:ascii="Times New Roman" w:hAnsi="Times New Roman"/>
          <w:color w:val="000000"/>
          <w:lang w:val="en-US"/>
        </w:rPr>
        <w:t>VaD</w:t>
      </w:r>
      <w:proofErr w:type="spellEnd"/>
      <w:r w:rsidRPr="00AF1597">
        <w:rPr>
          <w:rFonts w:ascii="Times New Roman" w:hAnsi="Times New Roman"/>
          <w:color w:val="000000"/>
          <w:lang w:val="en-US"/>
        </w:rPr>
        <w:t xml:space="preserve">, vascular dementia; FTD, </w:t>
      </w:r>
      <w:proofErr w:type="spellStart"/>
      <w:r w:rsidRPr="00AF1597">
        <w:rPr>
          <w:rFonts w:ascii="Times New Roman" w:hAnsi="Times New Roman"/>
          <w:color w:val="000000"/>
          <w:lang w:val="en-US"/>
        </w:rPr>
        <w:t>frontotemporal</w:t>
      </w:r>
      <w:proofErr w:type="spellEnd"/>
      <w:r w:rsidRPr="00AF1597">
        <w:rPr>
          <w:rFonts w:ascii="Times New Roman" w:hAnsi="Times New Roman"/>
          <w:color w:val="000000"/>
          <w:lang w:val="en-US"/>
        </w:rPr>
        <w:t xml:space="preserve"> dementia; DLB, </w:t>
      </w:r>
      <w:proofErr w:type="spellStart"/>
      <w:r w:rsidRPr="00AF1597">
        <w:rPr>
          <w:rFonts w:ascii="Times New Roman" w:hAnsi="Times New Roman"/>
          <w:color w:val="000000"/>
          <w:lang w:val="en-US"/>
        </w:rPr>
        <w:t>Lewy</w:t>
      </w:r>
      <w:proofErr w:type="spellEnd"/>
      <w:r w:rsidRPr="00AF1597">
        <w:rPr>
          <w:rFonts w:ascii="Times New Roman" w:hAnsi="Times New Roman"/>
          <w:color w:val="000000"/>
          <w:lang w:val="en-US"/>
        </w:rPr>
        <w:t xml:space="preserve"> body dementia.</w:t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lang w:val="en-US"/>
        </w:rPr>
      </w:pPr>
      <w:proofErr w:type="spellStart"/>
      <w:proofErr w:type="gramStart"/>
      <w:r w:rsidRPr="00AF1597">
        <w:rPr>
          <w:rFonts w:ascii="Times New Roman" w:hAnsi="Times New Roman"/>
          <w:color w:val="000000"/>
          <w:vertAlign w:val="superscript"/>
          <w:lang w:val="en-US"/>
        </w:rPr>
        <w:t>a</w:t>
      </w:r>
      <w:proofErr w:type="spellEnd"/>
      <w:proofErr w:type="gramEnd"/>
      <w:r w:rsidRPr="00AF1597">
        <w:rPr>
          <w:rFonts w:ascii="Times New Roman" w:hAnsi="Times New Roman"/>
          <w:color w:val="000000"/>
          <w:lang w:val="en-US"/>
        </w:rPr>
        <w:t xml:space="preserve"> Adjusted for age, sex.</w:t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br w:type="page"/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Supplementary Table 4a.</w:t>
      </w:r>
      <w:proofErr w:type="gram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Risk (hazard ratio, 95% confidence interval) of clinical progression to mild cognitive impairment or dementia in patients with orthostatic hypotension (OH) at baseline compared to patients without OH at baseline. </w:t>
      </w:r>
      <w:proofErr w:type="gram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Stratified according to diagnosis of hypertension and/ or use of OH-inducing drugs.</w:t>
      </w:r>
      <w:proofErr w:type="gram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465"/>
        <w:gridCol w:w="3341"/>
        <w:gridCol w:w="3480"/>
      </w:tblGrid>
      <w:tr w:rsidR="00364097" w:rsidRPr="00AF1597" w:rsidTr="00583B7C">
        <w:trPr>
          <w:trHeight w:val="63"/>
        </w:trPr>
        <w:tc>
          <w:tcPr>
            <w:tcW w:w="1327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val="en-US" w:eastAsia="nl-NL"/>
              </w:rPr>
            </w:pPr>
          </w:p>
        </w:tc>
        <w:tc>
          <w:tcPr>
            <w:tcW w:w="179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Model 1</w:t>
            </w: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val="en-US" w:eastAsia="nl-NL"/>
              </w:rPr>
              <w:t>a</w:t>
            </w:r>
          </w:p>
        </w:tc>
        <w:tc>
          <w:tcPr>
            <w:tcW w:w="1874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</w:pPr>
          </w:p>
        </w:tc>
      </w:tr>
      <w:tr w:rsidR="00364097" w:rsidRPr="00AF1597" w:rsidTr="00583B7C">
        <w:trPr>
          <w:trHeight w:val="63"/>
        </w:trPr>
        <w:tc>
          <w:tcPr>
            <w:tcW w:w="1327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vertAlign w:val="superscript"/>
                <w:lang w:val="en-US" w:eastAsia="nl-NL"/>
              </w:rPr>
            </w:pPr>
          </w:p>
        </w:tc>
        <w:tc>
          <w:tcPr>
            <w:tcW w:w="179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Patients </w:t>
            </w: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with</w:t>
            </w: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 hypertension and/or taking OH-inducing drugs (n=195)</w:t>
            </w:r>
          </w:p>
        </w:tc>
        <w:tc>
          <w:tcPr>
            <w:tcW w:w="1874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Patients </w:t>
            </w: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without</w:t>
            </w: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 hypertension and not taking OH-inducing drugs (n=281)</w:t>
            </w:r>
          </w:p>
        </w:tc>
      </w:tr>
      <w:tr w:rsidR="00364097" w:rsidRPr="00AF1597" w:rsidTr="00583B7C">
        <w:trPr>
          <w:trHeight w:val="63"/>
        </w:trPr>
        <w:tc>
          <w:tcPr>
            <w:tcW w:w="1327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Subjects without OH</w:t>
            </w:r>
          </w:p>
        </w:tc>
        <w:tc>
          <w:tcPr>
            <w:tcW w:w="1799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1.0 (reference)</w:t>
            </w:r>
          </w:p>
        </w:tc>
        <w:tc>
          <w:tcPr>
            <w:tcW w:w="1874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1.0 (reference)</w:t>
            </w:r>
          </w:p>
        </w:tc>
      </w:tr>
      <w:tr w:rsidR="00364097" w:rsidRPr="00AF1597" w:rsidTr="00583B7C">
        <w:trPr>
          <w:trHeight w:val="63"/>
        </w:trPr>
        <w:tc>
          <w:tcPr>
            <w:tcW w:w="1327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OH*</w:t>
            </w:r>
          </w:p>
        </w:tc>
        <w:tc>
          <w:tcPr>
            <w:tcW w:w="1799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2.0 (1.0-3.9)</w:t>
            </w:r>
          </w:p>
        </w:tc>
        <w:tc>
          <w:tcPr>
            <w:tcW w:w="1874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1.1 (0.6-2.0)</w:t>
            </w:r>
          </w:p>
        </w:tc>
      </w:tr>
    </w:tbl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*OH (≥20 mmHg drop in systolic BP and/or ≥10 mmHg drop in diastolic BP) at 1 and/or 3 minutes after standing.</w:t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F1597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a</w:t>
      </w:r>
      <w:proofErr w:type="spellEnd"/>
      <w:proofErr w:type="gram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Adjusted for age, sex.</w:t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br w:type="page"/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Supplementary Table 4b.</w:t>
      </w:r>
      <w:proofErr w:type="gramEnd"/>
      <w:r w:rsidRPr="00AF159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Risk (hazard ratio, 95% confidence interval) of clinical progression to mild cognitive impairment or dementia in patients with orthostatic hypotension (OH) at baseline compared to subjects without OH at baseline. </w:t>
      </w:r>
      <w:proofErr w:type="gramStart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Stratified according to diagnosis of hypertension and/ or use of OH-inducing drugs.</w:t>
      </w:r>
      <w:proofErr w:type="gram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</w:p>
    <w:tbl>
      <w:tblPr>
        <w:tblW w:w="494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3039"/>
        <w:gridCol w:w="2922"/>
        <w:gridCol w:w="3221"/>
      </w:tblGrid>
      <w:tr w:rsidR="00364097" w:rsidRPr="00AF1597" w:rsidTr="00583B7C">
        <w:trPr>
          <w:trHeight w:val="63"/>
        </w:trPr>
        <w:tc>
          <w:tcPr>
            <w:tcW w:w="165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vertAlign w:val="superscript"/>
                <w:lang w:val="en-US" w:eastAsia="nl-NL"/>
              </w:rPr>
            </w:pPr>
          </w:p>
        </w:tc>
        <w:tc>
          <w:tcPr>
            <w:tcW w:w="159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  <w:t>Model 1</w:t>
            </w:r>
            <w:r w:rsidRPr="00AF159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val="en-US" w:eastAsia="nl-NL"/>
              </w:rPr>
              <w:t>a</w:t>
            </w:r>
          </w:p>
        </w:tc>
        <w:tc>
          <w:tcPr>
            <w:tcW w:w="1754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 w:eastAsia="nl-NL"/>
              </w:rPr>
            </w:pPr>
          </w:p>
        </w:tc>
      </w:tr>
      <w:tr w:rsidR="00364097" w:rsidRPr="00AF1597" w:rsidTr="00583B7C">
        <w:trPr>
          <w:trHeight w:val="63"/>
        </w:trPr>
        <w:tc>
          <w:tcPr>
            <w:tcW w:w="165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vertAlign w:val="superscript"/>
                <w:lang w:val="en-US" w:eastAsia="nl-NL"/>
              </w:rPr>
            </w:pPr>
          </w:p>
        </w:tc>
        <w:tc>
          <w:tcPr>
            <w:tcW w:w="159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Patients </w:t>
            </w: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with</w:t>
            </w: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 hypertension and/or taking OH-inducing drugs (n=195)</w:t>
            </w:r>
          </w:p>
        </w:tc>
        <w:tc>
          <w:tcPr>
            <w:tcW w:w="1754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Patients </w:t>
            </w: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without</w:t>
            </w: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 xml:space="preserve"> hypertension and not taking OH-inducing drugs (n=281)</w:t>
            </w:r>
          </w:p>
        </w:tc>
      </w:tr>
      <w:tr w:rsidR="00364097" w:rsidRPr="00AF1597" w:rsidTr="00583B7C">
        <w:trPr>
          <w:trHeight w:val="63"/>
        </w:trPr>
        <w:tc>
          <w:tcPr>
            <w:tcW w:w="165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Subjects without OH</w:t>
            </w:r>
          </w:p>
        </w:tc>
        <w:tc>
          <w:tcPr>
            <w:tcW w:w="159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1.0 (reference)</w:t>
            </w:r>
          </w:p>
        </w:tc>
        <w:tc>
          <w:tcPr>
            <w:tcW w:w="1754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1.0 (reference)</w:t>
            </w:r>
          </w:p>
        </w:tc>
      </w:tr>
      <w:tr w:rsidR="00364097" w:rsidRPr="00AF1597" w:rsidTr="00583B7C">
        <w:trPr>
          <w:trHeight w:val="63"/>
        </w:trPr>
        <w:tc>
          <w:tcPr>
            <w:tcW w:w="1655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Early OH*</w:t>
            </w:r>
          </w:p>
        </w:tc>
        <w:tc>
          <w:tcPr>
            <w:tcW w:w="1591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2.0 (0.6-7.0)</w:t>
            </w:r>
          </w:p>
        </w:tc>
        <w:tc>
          <w:tcPr>
            <w:tcW w:w="1754" w:type="pct"/>
            <w:shd w:val="clear" w:color="auto" w:fill="F2F2F2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0.4 (0.1-1.7)</w:t>
            </w:r>
          </w:p>
        </w:tc>
      </w:tr>
      <w:tr w:rsidR="00364097" w:rsidRPr="00AF1597" w:rsidTr="00583B7C">
        <w:trPr>
          <w:trHeight w:val="63"/>
        </w:trPr>
        <w:tc>
          <w:tcPr>
            <w:tcW w:w="1655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val="en-US" w:eastAsia="nl-NL"/>
              </w:rPr>
              <w:t>Delayed, prolonged OH**</w:t>
            </w:r>
          </w:p>
        </w:tc>
        <w:tc>
          <w:tcPr>
            <w:tcW w:w="1591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2.0 (1.0-4.0)</w:t>
            </w:r>
          </w:p>
        </w:tc>
        <w:tc>
          <w:tcPr>
            <w:tcW w:w="1754" w:type="pct"/>
            <w:shd w:val="clear" w:color="auto" w:fill="auto"/>
          </w:tcPr>
          <w:p w:rsidR="00364097" w:rsidRPr="00AF1597" w:rsidRDefault="00364097" w:rsidP="00583B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</w:pPr>
            <w:r w:rsidRPr="00AF159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nl-NL"/>
              </w:rPr>
              <w:t>1.5 (0.8-2.8)</w:t>
            </w:r>
          </w:p>
        </w:tc>
      </w:tr>
    </w:tbl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>*OH (≥20 mmHg drop in systolic BP and/or ≥10 mmHg drop in diastolic BP) at 1 minute after standing, **OH at (1 and) 3 minutes after standing.</w:t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AF1597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a</w:t>
      </w:r>
      <w:proofErr w:type="spellEnd"/>
      <w:proofErr w:type="gramEnd"/>
      <w:r w:rsidRPr="00AF1597">
        <w:rPr>
          <w:rFonts w:ascii="Times New Roman" w:hAnsi="Times New Roman"/>
          <w:color w:val="000000"/>
          <w:sz w:val="24"/>
          <w:szCs w:val="24"/>
          <w:lang w:val="en-US"/>
        </w:rPr>
        <w:t xml:space="preserve"> Adjusted for age, sex.</w:t>
      </w:r>
    </w:p>
    <w:p w:rsidR="00364097" w:rsidRPr="00AF1597" w:rsidRDefault="00364097" w:rsidP="0036409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4F0992" w:rsidRDefault="004F0992">
      <w:bookmarkStart w:id="0" w:name="_GoBack"/>
      <w:bookmarkEnd w:id="0"/>
    </w:p>
    <w:sectPr w:rsidR="004F0992" w:rsidSect="00676ED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97"/>
    <w:rsid w:val="00364097"/>
    <w:rsid w:val="004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97"/>
    <w:pPr>
      <w:spacing w:after="160" w:line="259" w:lineRule="auto"/>
    </w:pPr>
    <w:rPr>
      <w:rFonts w:ascii="Calibri" w:eastAsia="MS Mincho" w:hAnsi="Calibri" w:cs="Times New Roman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097"/>
    <w:pPr>
      <w:keepNext/>
      <w:keepLines/>
      <w:spacing w:before="400" w:after="40" w:line="240" w:lineRule="auto"/>
      <w:outlineLvl w:val="0"/>
    </w:pPr>
    <w:rPr>
      <w:rFonts w:ascii="Cambria" w:eastAsia="MS Gothic" w:hAnsi="Cambria"/>
      <w:color w:val="1F4E7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097"/>
    <w:rPr>
      <w:rFonts w:ascii="Cambria" w:eastAsia="MS Gothic" w:hAnsi="Cambria" w:cs="Times New Roman"/>
      <w:color w:val="1F4E79"/>
      <w:sz w:val="36"/>
      <w:szCs w:val="3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97"/>
    <w:pPr>
      <w:spacing w:after="160" w:line="259" w:lineRule="auto"/>
    </w:pPr>
    <w:rPr>
      <w:rFonts w:ascii="Calibri" w:eastAsia="MS Mincho" w:hAnsi="Calibri" w:cs="Times New Roman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097"/>
    <w:pPr>
      <w:keepNext/>
      <w:keepLines/>
      <w:spacing w:before="400" w:after="40" w:line="240" w:lineRule="auto"/>
      <w:outlineLvl w:val="0"/>
    </w:pPr>
    <w:rPr>
      <w:rFonts w:ascii="Cambria" w:eastAsia="MS Gothic" w:hAnsi="Cambria"/>
      <w:color w:val="1F4E7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097"/>
    <w:rPr>
      <w:rFonts w:ascii="Cambria" w:eastAsia="MS Gothic" w:hAnsi="Cambria" w:cs="Times New Roman"/>
      <w:color w:val="1F4E79"/>
      <w:sz w:val="36"/>
      <w:szCs w:val="3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2019-07-27T09:16:00Z</dcterms:created>
  <dcterms:modified xsi:type="dcterms:W3CDTF">2019-07-27T09:16:00Z</dcterms:modified>
</cp:coreProperties>
</file>