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 w:rsidRPr="00FD42EB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:rsidR="00FD42EB" w:rsidRDefault="00FD42EB" w:rsidP="00FD42EB">
      <w:pPr>
        <w:pStyle w:val="Heading1"/>
        <w:tabs>
          <w:tab w:val="left" w:pos="36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7r16euc2lvda" w:colFirst="0" w:colLast="0"/>
      <w:bookmarkEnd w:id="1"/>
      <w:r w:rsidRPr="00FD42EB">
        <w:rPr>
          <w:rFonts w:ascii="Times New Roman" w:hAnsi="Times New Roman" w:cs="Times New Roman"/>
          <w:b/>
          <w:sz w:val="24"/>
          <w:szCs w:val="24"/>
        </w:rPr>
        <w:t>Improved Differential Diagnosis of Alzheimer’s Disease by Integrating ELISA and Mass Spectrometry-Based Cerebrospinal Fluid Biomarkers</w:t>
      </w:r>
    </w:p>
    <w:p w:rsidR="00FD42EB" w:rsidRPr="00FD42EB" w:rsidRDefault="00FD42EB" w:rsidP="00FD42EB"/>
    <w:p w:rsidR="005B5A29" w:rsidRDefault="005B5A29" w:rsidP="00FD42EB">
      <w:pPr>
        <w:pStyle w:val="Heading1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3484" w:rsidRPr="00FD42EB" w:rsidRDefault="005B5A29" w:rsidP="00FD42EB">
      <w:pPr>
        <w:pStyle w:val="Heading1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2EB">
        <w:rPr>
          <w:rFonts w:ascii="Times New Roman" w:hAnsi="Times New Roman" w:cs="Times New Roman"/>
          <w:b/>
          <w:sz w:val="24"/>
          <w:szCs w:val="24"/>
        </w:rPr>
        <w:t>SAMPLE HANDLING AND ANALYS</w:t>
      </w:r>
      <w:r w:rsidRPr="00FD42EB">
        <w:rPr>
          <w:rFonts w:ascii="Times New Roman" w:hAnsi="Times New Roman" w:cs="Times New Roman"/>
          <w:b/>
          <w:sz w:val="24"/>
          <w:szCs w:val="24"/>
        </w:rPr>
        <w:t>IS</w:t>
      </w: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D42EB">
        <w:rPr>
          <w:rFonts w:ascii="Times New Roman" w:hAnsi="Times New Roman" w:cs="Times New Roman"/>
          <w:i/>
          <w:sz w:val="24"/>
          <w:szCs w:val="24"/>
        </w:rPr>
        <w:t>Sample collection and handling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>The CSF samples were collected via lumbar puncture into polypropylene tubes. After collection, the CSF was directly centrifuged at 1300 g for 10 min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at +4°C to pellet any cell debris. After centrifugation, all samples </w:t>
      </w:r>
      <w:r w:rsidR="005B5A29" w:rsidRPr="00FD42EB">
        <w:rPr>
          <w:rFonts w:ascii="Times New Roman" w:hAnsi="Times New Roman" w:cs="Times New Roman"/>
          <w:sz w:val="24"/>
          <w:szCs w:val="24"/>
        </w:rPr>
        <w:t>were visually inspected for blood contamination, frozen and stored at -80°C.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_3znysh7" w:colFirst="0" w:colLast="0"/>
      <w:bookmarkEnd w:id="2"/>
      <w:r w:rsidRPr="00FD42EB">
        <w:rPr>
          <w:rFonts w:ascii="Times New Roman" w:hAnsi="Times New Roman" w:cs="Times New Roman"/>
          <w:i/>
          <w:sz w:val="24"/>
          <w:szCs w:val="24"/>
        </w:rPr>
        <w:t>Enzyme-linked immunosorbent assay (ELISA)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>The concentrations of Aβ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="005B5A29" w:rsidRPr="00FD42EB">
        <w:rPr>
          <w:rFonts w:ascii="Times New Roman" w:hAnsi="Times New Roman" w:cs="Times New Roman"/>
          <w:sz w:val="24"/>
          <w:szCs w:val="24"/>
        </w:rPr>
        <w:t>, t-tau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and p-tau in CSF were measured at the Clinical Neurochemistry Laboratory, University of Gothenburg,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Möl</w:t>
      </w:r>
      <w:r w:rsidR="005B5A29" w:rsidRPr="00FD42EB">
        <w:rPr>
          <w:rFonts w:ascii="Times New Roman" w:hAnsi="Times New Roman" w:cs="Times New Roman"/>
          <w:sz w:val="24"/>
          <w:szCs w:val="24"/>
        </w:rPr>
        <w:t>ndal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, Sweden. The measurements were performed by board-certified laboratory technicians, who were blinded to clinical data, using sandwich ELISAs (INNOTEST,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Fujirebio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, Ghent, Belgium) and procedures accredited by the Swedish Board of Accreditation and Conf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ormity Assessment. 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D42EB">
        <w:rPr>
          <w:rFonts w:ascii="Times New Roman" w:hAnsi="Times New Roman" w:cs="Times New Roman"/>
          <w:i/>
          <w:sz w:val="24"/>
          <w:szCs w:val="24"/>
        </w:rPr>
        <w:t>Chemicals and reagents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>Acetonitrile (ACN), methanol (MeOH), acetic acid (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), formic acid (FA),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B5A29" w:rsidRPr="00FD42EB">
        <w:rPr>
          <w:rFonts w:ascii="Times New Roman" w:hAnsi="Times New Roman" w:cs="Times New Roman"/>
          <w:sz w:val="24"/>
          <w:szCs w:val="24"/>
        </w:rPr>
        <w:t>ammonium bicarbonate (NH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5A29" w:rsidRPr="00FD42EB">
        <w:rPr>
          <w:rFonts w:ascii="Times New Roman" w:hAnsi="Times New Roman" w:cs="Times New Roman"/>
          <w:sz w:val="24"/>
          <w:szCs w:val="24"/>
        </w:rPr>
        <w:t>HCO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5A29" w:rsidRPr="00FD42EB">
        <w:rPr>
          <w:rFonts w:ascii="Times New Roman" w:hAnsi="Times New Roman" w:cs="Times New Roman"/>
          <w:sz w:val="24"/>
          <w:szCs w:val="24"/>
        </w:rPr>
        <w:t>) were obtained from Merck (Darmstadt, Germany). Acetone, protease inhibitor cocktail, phosphate buffered sali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ne (PBS), trifluoroacetic acid (TFA), sodium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citratemonobasic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, sodium dodecyl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(SDS), and chicken ovalbumin were purchased from </w:t>
      </w:r>
      <w:r w:rsidR="005B5A29" w:rsidRPr="00FD42EB">
        <w:rPr>
          <w:rFonts w:ascii="Times New Roman" w:hAnsi="Times New Roman" w:cs="Times New Roman"/>
          <w:sz w:val="24"/>
          <w:szCs w:val="24"/>
        </w:rPr>
        <w:lastRenderedPageBreak/>
        <w:t>Sigma Aldrich (St. Louis, MO, USA). For tryptic digestion, iodoacetamide (IAA), urea and dithiothreitol (DTT) were obtai</w:t>
      </w:r>
      <w:r w:rsidR="005B5A29" w:rsidRPr="00FD42EB">
        <w:rPr>
          <w:rFonts w:ascii="Times New Roman" w:hAnsi="Times New Roman" w:cs="Times New Roman"/>
          <w:sz w:val="24"/>
          <w:szCs w:val="24"/>
        </w:rPr>
        <w:t>ned from Sigma Aldrich and trypsin/Lys-C mixture (mass spectrometry grade; Promega, Mannheim, Germany). Ultrapure water was prepared by Milli-Q water purification system (Millipore, Bedford, MA, USA).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42EB">
        <w:rPr>
          <w:rFonts w:ascii="Times New Roman" w:hAnsi="Times New Roman" w:cs="Times New Roman"/>
          <w:i/>
          <w:sz w:val="24"/>
          <w:szCs w:val="24"/>
        </w:rPr>
        <w:t>Multiaffinity</w:t>
      </w:r>
      <w:proofErr w:type="spellEnd"/>
      <w:r w:rsidRPr="00FD4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2EB">
        <w:rPr>
          <w:rFonts w:ascii="Times New Roman" w:hAnsi="Times New Roman" w:cs="Times New Roman"/>
          <w:i/>
          <w:sz w:val="24"/>
          <w:szCs w:val="24"/>
        </w:rPr>
        <w:t>immunodepletion</w:t>
      </w:r>
      <w:proofErr w:type="spellEnd"/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Prior to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nanoLC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-MS/MS analysis, the low abundant proteins were enriched through 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depletion of the seven most highly abundant proteins (albumin, IgG, alpha-1-antitrypsin, IgA, haptoglobin, transferrin, and fibrinogen) using a human Multiple Affinity Removal 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Spin Cartridge - Hu-7 (Agilent Technologies, Palo Alto, CA, USA).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Immunodepletion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using the MARS spin cartridge was performed according to the manufacturer’s instruction. Prior to depletion, an aliquot of 310 µL of each CSF sample was filtered through a 0.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cellulose acetate spin filters (Agilent Technologies, Palo Alto, CA, USA) by centrifugation at 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A29" w:rsidRPr="00FD42EB">
        <w:rPr>
          <w:rFonts w:ascii="Times New Roman" w:hAnsi="Times New Roman" w:cs="Times New Roman"/>
          <w:sz w:val="24"/>
          <w:szCs w:val="24"/>
        </w:rPr>
        <w:t>000 g for 2 min. To minimize any proteolytic degradation during the depletion, the samples were kept at 6</w:t>
      </w:r>
      <w:r w:rsidR="005B5A29" w:rsidRPr="00FD42E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B5A29" w:rsidRPr="00FD42EB">
        <w:rPr>
          <w:rFonts w:ascii="Times New Roman" w:hAnsi="Times New Roman" w:cs="Times New Roman"/>
          <w:sz w:val="24"/>
          <w:szCs w:val="24"/>
        </w:rPr>
        <w:t>C whenever possible. Next, an aliquot of 300 µ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L of each CSF sample was loaded onto the spin cartridge and the flow-through (FT) fraction was collected by centrifugation for 2 min at 100 g. </w:t>
      </w:r>
      <w:r w:rsidR="005B5A29" w:rsidRPr="00FD42EB">
        <w:rPr>
          <w:rFonts w:ascii="Times New Roman" w:hAnsi="Times New Roman" w:cs="Times New Roman"/>
          <w:sz w:val="24"/>
          <w:szCs w:val="24"/>
        </w:rPr>
        <w:t>Two successive wash steps with 400 µL of MARS-7 Buffer A were carried out to obtain maximum yield. The flow-throu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gh and wash (W) fractions were combined. The spin cartridge was washed with 2 mL of MARS-7 Buffer B to remove bound proteins and was then re-equilibrated with Buffer A. The remaining fractions (FT+W) were dried using a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SpeedVac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Scientific, Waltham,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MA, USA).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D42EB">
        <w:rPr>
          <w:rFonts w:ascii="Times New Roman" w:hAnsi="Times New Roman" w:cs="Times New Roman"/>
          <w:i/>
          <w:sz w:val="24"/>
          <w:szCs w:val="24"/>
        </w:rPr>
        <w:lastRenderedPageBreak/>
        <w:t>Protein digestion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The proteins in the depleted CSF sample were digested using a trypsin/Lys-C mixture. Briefly, the proteins were re-dissolved in 50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of digestion buffer (6 M urea, 100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NH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5A29" w:rsidRPr="00FD42EB">
        <w:rPr>
          <w:rFonts w:ascii="Times New Roman" w:hAnsi="Times New Roman" w:cs="Times New Roman"/>
          <w:sz w:val="24"/>
          <w:szCs w:val="24"/>
        </w:rPr>
        <w:t>HCO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) and a volume of 10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chicken ovalbumin solution (0.05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) was added to each CSF sample. 15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of 45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aqueous DTT was then added to all samples and the mixtures were incubated at 37°C for</w:t>
      </w:r>
      <w:r>
        <w:rPr>
          <w:rFonts w:ascii="Times New Roman" w:hAnsi="Times New Roman" w:cs="Times New Roman"/>
          <w:sz w:val="24"/>
          <w:szCs w:val="24"/>
        </w:rPr>
        <w:t xml:space="preserve"> 2 h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to reduce the disulfide bridges. The samples were c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ooled to </w:t>
      </w:r>
      <w:r w:rsidR="005B5A29" w:rsidRPr="00FD42EB">
        <w:rPr>
          <w:rFonts w:ascii="Times New Roman" w:hAnsi="Times New Roman" w:cs="Times New Roman"/>
          <w:sz w:val="24"/>
          <w:szCs w:val="24"/>
        </w:rPr>
        <w:t>room temperature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5A29" w:rsidRPr="00FD42EB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and 15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of 100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aqueous IAA was added before incubating the mixtures for an additional 40 min at RT in darkness in order to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carabamidomethylate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the cysteines. Finally, a volume of 50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of 100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NH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5A29" w:rsidRPr="00FD42EB">
        <w:rPr>
          <w:rFonts w:ascii="Times New Roman" w:hAnsi="Times New Roman" w:cs="Times New Roman"/>
          <w:sz w:val="24"/>
          <w:szCs w:val="24"/>
        </w:rPr>
        <w:t>HCO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was added to all 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samples followed by the trypsin/Lys-C mixture dissolved in 100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TEAB, yielding a final trypsin/protein concentration of 5% (w/w). The tryptic digestion was performed overnight at 37°C. Prior to MS analysis, the peptides were purified and desalted on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Isol</w:t>
      </w:r>
      <w:r w:rsidR="005B5A29" w:rsidRPr="00FD42EB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C18 solid phase extraction (SPE) columns (1 mL, 50 mg capacity,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Biotage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, Uppsala, Sweden) by wetting the matrix in 3x500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of 100% ACN, followed by equilibration with 3x500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. Using five repeated cycles of loading, the tryptic peptides were ab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sorbed into the media. The column was then washed using 3x1 mL of 1%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. Finally, the peptides were eluted in 300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50% ACN and 1%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HAc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. After desalting, the eluent was dried using a vacuum centrifuge and re-dissolved in 60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0.1% TFA prior to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-LC-MS</w:t>
      </w:r>
      <w:r w:rsidR="005B5A29" w:rsidRPr="00FD42EB">
        <w:rPr>
          <w:rFonts w:ascii="Times New Roman" w:hAnsi="Times New Roman" w:cs="Times New Roman"/>
          <w:sz w:val="24"/>
          <w:szCs w:val="24"/>
        </w:rPr>
        <w:t>/MS analysis.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42EB">
        <w:rPr>
          <w:rFonts w:ascii="Times New Roman" w:hAnsi="Times New Roman" w:cs="Times New Roman"/>
          <w:i/>
          <w:sz w:val="24"/>
          <w:szCs w:val="24"/>
        </w:rPr>
        <w:t>NanoLC</w:t>
      </w:r>
      <w:proofErr w:type="spellEnd"/>
      <w:r w:rsidRPr="00FD42EB">
        <w:rPr>
          <w:rFonts w:ascii="Times New Roman" w:hAnsi="Times New Roman" w:cs="Times New Roman"/>
          <w:i/>
          <w:sz w:val="24"/>
          <w:szCs w:val="24"/>
        </w:rPr>
        <w:t xml:space="preserve">-MS/MS analysis 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nanoLC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-MS/MS analyses were performed using a 7 T hybrid LTQ FT mass spectrometer (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Scientific, Bremen, Germany) fitted with a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-electrospray ionization (ESI) ion source. On-line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nanoLC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separations wer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e performed using an Agilent 1100 </w:t>
      </w:r>
      <w:r w:rsidR="005B5A29" w:rsidRPr="00FD42EB">
        <w:rPr>
          <w:rFonts w:ascii="Times New Roman" w:hAnsi="Times New Roman" w:cs="Times New Roman"/>
          <w:sz w:val="24"/>
          <w:szCs w:val="24"/>
        </w:rPr>
        <w:lastRenderedPageBreak/>
        <w:t xml:space="preserve">nanoflow system (Agilent Technologies,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Waldbronn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, Germany). The peptide separations were done on in-house packed 15 cm fused silica emitters (75-μm inner diameter, 375-μm outer diameter). The emitters were packed with a me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thanol slurry of reversed phase, fully end-capped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Reprosil-Pur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C18-AQ 3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resin (Dr.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Maisch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GmbH,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Ammerbuch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Entringen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, Germany) using a PC77 pressure injection cell (Next Advance, Averill Park, NY, USA). Five µL of sample was injected into the column (cor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responding to 2 µg tryptic peptides) and a flow rate of 200 mL/min was used with mobile phase A being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MilliQ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water with 0.5% acetic acid and mobile phase B 89.5% acetonitrile, 10% water, and 0.5% acetic acid. A 100 min gradient was used starting from 2% to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50% B followed by a 5 min washing with 98% B. The MS analyses were performed in unattended data-dependent acquisition mode, in which the MS automatically switched between acquiring a high-resolution survey mass spectrum in the FTMS (resolving power 50,000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FWHM) and consecutive low resolution, collision-induced dissociation fragmentation of up to five of the most abundant ions in the ion trap. The samples were run according to a random order and in addition, a pool of CSF was run after every eight biologica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l samples for the purpose of quality control. 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D42EB">
        <w:rPr>
          <w:rFonts w:ascii="Times New Roman" w:hAnsi="Times New Roman" w:cs="Times New Roman"/>
          <w:i/>
          <w:sz w:val="24"/>
          <w:szCs w:val="24"/>
        </w:rPr>
        <w:t>Data analysis</w:t>
      </w:r>
    </w:p>
    <w:p w:rsidR="006B3484" w:rsidRPr="00FD42EB" w:rsidRDefault="005B5A29" w:rsidP="00FD42EB">
      <w:pPr>
        <w:pStyle w:val="Heading3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3" w:name="_2et92p0" w:colFirst="0" w:colLast="0"/>
      <w:bookmarkEnd w:id="3"/>
      <w:r w:rsidRPr="00FD42EB">
        <w:rPr>
          <w:rFonts w:ascii="Times New Roman" w:hAnsi="Times New Roman" w:cs="Times New Roman"/>
          <w:color w:val="000000"/>
          <w:sz w:val="24"/>
          <w:szCs w:val="24"/>
          <w:u w:val="single"/>
        </w:rPr>
        <w:t>Mass spectrometry identification and quantification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>The raw MS data were converted to an open source format (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mzML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) using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msconvert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” 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ProteoWizard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and processed using the following workflow on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OpenMS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platform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(the parameters are found in S2 Table). For identification the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UniProt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/Swiss-Pro human database (release 2017_02, cont</w:t>
      </w:r>
      <w:r w:rsidR="005B5A29" w:rsidRPr="00FD42EB">
        <w:rPr>
          <w:rFonts w:ascii="Times New Roman" w:hAnsi="Times New Roman" w:cs="Times New Roman"/>
          <w:sz w:val="24"/>
          <w:szCs w:val="24"/>
        </w:rPr>
        <w:t>aining 20168 entries) with ovalbumin chicken protein sequence added to the database combined with a decoy database (the sequences were reversed) was used in the MS-</w:t>
      </w:r>
      <w:r w:rsidR="005B5A29" w:rsidRPr="00FD42EB">
        <w:rPr>
          <w:rFonts w:ascii="Times New Roman" w:hAnsi="Times New Roman" w:cs="Times New Roman"/>
          <w:sz w:val="24"/>
          <w:szCs w:val="24"/>
        </w:rPr>
        <w:lastRenderedPageBreak/>
        <w:t>GF+ search engine. The results were imported into Percolator and the peptide matches were us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ed in Fido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[3]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to score proteins based on peptide-spectrum matches. The proteins with q-value lower than 0.05 were selected for subsequent analysis. For quantification, the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mzML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files were used in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Fe</w:t>
      </w:r>
      <w:r w:rsidR="005B5A29" w:rsidRPr="00FD42EB">
        <w:rPr>
          <w:rFonts w:ascii="Times New Roman" w:hAnsi="Times New Roman" w:cs="Times New Roman"/>
          <w:sz w:val="24"/>
          <w:szCs w:val="24"/>
        </w:rPr>
        <w:t>atureFinderCentroid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” to find and quantify the features. The resulting features were mapped to identified peptides using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IDMapper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”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[4]</w:t>
      </w:r>
      <w:r w:rsidR="005B5A29" w:rsidRPr="00FD42EB">
        <w:rPr>
          <w:rFonts w:ascii="Times New Roman" w:hAnsi="Times New Roman" w:cs="Times New Roman"/>
          <w:sz w:val="24"/>
          <w:szCs w:val="24"/>
        </w:rPr>
        <w:t>. The retention time shift was corrected for using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MapAlignerIden</w:t>
      </w:r>
      <w:r w:rsidR="005B5A29" w:rsidRPr="00FD42EB">
        <w:rPr>
          <w:rFonts w:ascii="Times New Roman" w:hAnsi="Times New Roman" w:cs="Times New Roman"/>
          <w:sz w:val="24"/>
          <w:szCs w:val="24"/>
        </w:rPr>
        <w:t>tification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” and features were matched using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FeatureLinkerUnlabeledQT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”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[4]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. </w:t>
      </w:r>
      <w:r w:rsidR="005B5A29" w:rsidRPr="00FD42EB"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IDConflictResolver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” was used to filter the identifications such that each feature was associated to only one peptide. F</w:t>
      </w:r>
      <w:r w:rsidR="005B5A29" w:rsidRPr="00FD42EB">
        <w:rPr>
          <w:rFonts w:ascii="Times New Roman" w:hAnsi="Times New Roman" w:cs="Times New Roman"/>
          <w:sz w:val="24"/>
          <w:szCs w:val="24"/>
        </w:rPr>
        <w:t>inally, peptide abundances were normalized using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ConsensusMapNormalizer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” and aggregated to protein abundances using 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ProteinQuantifier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”, in which the intensity of top three most abundant peptides (with q-value lower than 0.05) were summed and the result w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as imported to R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[5]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for further processing. Proteins identified (q-value&lt;0.05) with five or more significant peptides (q-value&lt;0.05) were included in downstream analyses. The proteins with less than </w:t>
      </w:r>
      <w:r w:rsidR="005B5A29" w:rsidRPr="00FD42EB">
        <w:rPr>
          <w:rFonts w:ascii="Times New Roman" w:hAnsi="Times New Roman" w:cs="Times New Roman"/>
          <w:sz w:val="24"/>
          <w:szCs w:val="24"/>
        </w:rPr>
        <w:t>80% missing values in the QC samples and the biological samples and coefficients of variation (CV) &lt;1 in QC samples were selected for modeling. The data was transformed to log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scale and normalized using cyclic loess normalization on protein level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[6]</w:t>
      </w:r>
      <w:r w:rsidR="005B5A29" w:rsidRPr="00FD42EB">
        <w:rPr>
          <w:rFonts w:ascii="Times New Roman" w:hAnsi="Times New Roman" w:cs="Times New Roman"/>
          <w:sz w:val="24"/>
          <w:szCs w:val="24"/>
        </w:rPr>
        <w:t>. The levels of MS based proteins as well as Aβ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="005B5A29" w:rsidRPr="00FD42EB">
        <w:rPr>
          <w:rFonts w:ascii="Times New Roman" w:hAnsi="Times New Roman" w:cs="Times New Roman"/>
          <w:sz w:val="24"/>
          <w:szCs w:val="24"/>
        </w:rPr>
        <w:t>, t-tau, p-tau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and MMSE were adjusted for age and gender using linear regression (“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removeBatchEffect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” package in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Limma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[7]</w:t>
      </w:r>
      <w:r w:rsidR="005B5A29" w:rsidRPr="00FD42EB">
        <w:rPr>
          <w:rFonts w:ascii="Times New Roman" w:hAnsi="Times New Roman" w:cs="Times New Roman"/>
          <w:sz w:val="24"/>
          <w:szCs w:val="24"/>
        </w:rPr>
        <w:t>).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tyjcwt" w:colFirst="0" w:colLast="0"/>
      <w:bookmarkEnd w:id="4"/>
      <w:r w:rsidRPr="00FD42EB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D42EB">
        <w:rPr>
          <w:rFonts w:ascii="Times New Roman" w:hAnsi="Times New Roman" w:cs="Times New Roman"/>
          <w:sz w:val="24"/>
          <w:szCs w:val="24"/>
          <w:u w:val="single"/>
        </w:rPr>
        <w:t>ultivariate modelling to diagnose AD using Aβ</w:t>
      </w:r>
      <w:r w:rsidRPr="00FD42E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42</w:t>
      </w:r>
      <w:r w:rsidRPr="00FD42EB">
        <w:rPr>
          <w:rFonts w:ascii="Times New Roman" w:hAnsi="Times New Roman" w:cs="Times New Roman"/>
          <w:sz w:val="24"/>
          <w:szCs w:val="24"/>
          <w:u w:val="single"/>
        </w:rPr>
        <w:t>, t-tau</w:t>
      </w:r>
      <w:r w:rsidR="00FD42E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D42EB">
        <w:rPr>
          <w:rFonts w:ascii="Times New Roman" w:hAnsi="Times New Roman" w:cs="Times New Roman"/>
          <w:sz w:val="24"/>
          <w:szCs w:val="24"/>
          <w:u w:val="single"/>
        </w:rPr>
        <w:t xml:space="preserve"> and p-tau at baseline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>We evaluated if PLS-DA could improve the accuracy of diagnosing AD, MCI</w:t>
      </w:r>
      <w:r>
        <w:rPr>
          <w:rFonts w:ascii="Times New Roman" w:hAnsi="Times New Roman" w:cs="Times New Roman"/>
          <w:sz w:val="24"/>
          <w:szCs w:val="24"/>
        </w:rPr>
        <w:t>, FTD,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and non-demented controls by taking combinatorial effects of Aβ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="005B5A29" w:rsidRPr="00FD42EB">
        <w:rPr>
          <w:rFonts w:ascii="Times New Roman" w:hAnsi="Times New Roman" w:cs="Times New Roman"/>
          <w:sz w:val="24"/>
          <w:szCs w:val="24"/>
        </w:rPr>
        <w:t>, t-tau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</w:t>
      </w:r>
      <w:r w:rsidR="005B5A29" w:rsidRPr="00FD42EB">
        <w:rPr>
          <w:rFonts w:ascii="Times New Roman" w:hAnsi="Times New Roman" w:cs="Times New Roman"/>
          <w:sz w:val="24"/>
          <w:szCs w:val="24"/>
        </w:rPr>
        <w:t>nd p-tau into account. A linear model using PLS-DA (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mixOmics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R package [20]) was trained using the three components for prediction. Importantly, for training, MCI/AD converters and MCI/non-AD converters were </w:t>
      </w:r>
      <w:r w:rsidR="005B5A29" w:rsidRPr="00FD42EB">
        <w:rPr>
          <w:rFonts w:ascii="Times New Roman" w:hAnsi="Times New Roman" w:cs="Times New Roman"/>
          <w:sz w:val="24"/>
          <w:szCs w:val="24"/>
        </w:rPr>
        <w:lastRenderedPageBreak/>
        <w:t>regarded as a single group, “MCI”. Therefore, th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e model was not provided with information on whether the MCI patients were AD converters or not. A leave-one-out cross-validation (“perf” function in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mixOmics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) was performed to evaluate the accuracy by calculating an area of the ROC curve (AUROC) for AD v</w:t>
      </w:r>
      <w:r>
        <w:rPr>
          <w:rFonts w:ascii="Times New Roman" w:hAnsi="Times New Roman" w:cs="Times New Roman"/>
          <w:sz w:val="24"/>
          <w:szCs w:val="24"/>
        </w:rPr>
        <w:t>ersus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non-AD subjects (stable MCI, FTD and controls), MCI/AD converters v</w:t>
      </w:r>
      <w:r>
        <w:rPr>
          <w:rFonts w:ascii="Times New Roman" w:hAnsi="Times New Roman" w:cs="Times New Roman"/>
          <w:sz w:val="24"/>
          <w:szCs w:val="24"/>
        </w:rPr>
        <w:t>ersus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non-AD subjects (FTD, stable MCI and controls), FTD v</w:t>
      </w:r>
      <w:r>
        <w:rPr>
          <w:rFonts w:ascii="Times New Roman" w:hAnsi="Times New Roman" w:cs="Times New Roman"/>
          <w:sz w:val="24"/>
          <w:szCs w:val="24"/>
        </w:rPr>
        <w:t>ersus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non-FTD subjects (AD, stable MCI and controls)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and controls v</w:t>
      </w:r>
      <w:r>
        <w:rPr>
          <w:rFonts w:ascii="Times New Roman" w:hAnsi="Times New Roman" w:cs="Times New Roman"/>
          <w:sz w:val="24"/>
          <w:szCs w:val="24"/>
        </w:rPr>
        <w:t>ersus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all other groups (cognitively declined patients). 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5B5A29" w:rsidP="00FD42EB">
      <w:pPr>
        <w:pStyle w:val="Heading2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3dy6vkm" w:colFirst="0" w:colLast="0"/>
      <w:bookmarkEnd w:id="5"/>
      <w:r w:rsidRPr="00FD42EB">
        <w:rPr>
          <w:rFonts w:ascii="Times New Roman" w:hAnsi="Times New Roman" w:cs="Times New Roman"/>
          <w:sz w:val="24"/>
          <w:szCs w:val="24"/>
          <w:u w:val="single"/>
        </w:rPr>
        <w:t>Integrative multivariate statistical analysis</w:t>
      </w:r>
    </w:p>
    <w:p w:rsidR="006B3484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A29" w:rsidRPr="00FD42EB">
        <w:rPr>
          <w:rFonts w:ascii="Times New Roman" w:hAnsi="Times New Roman" w:cs="Times New Roman"/>
          <w:sz w:val="24"/>
          <w:szCs w:val="24"/>
        </w:rPr>
        <w:t>Using sparse PLS-DA (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sPLS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>-DA), we evaluated if a combination of Aβ</w:t>
      </w:r>
      <w:r w:rsidR="005B5A29" w:rsidRPr="00FD42EB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="005B5A29" w:rsidRPr="00FD42EB">
        <w:rPr>
          <w:rFonts w:ascii="Times New Roman" w:hAnsi="Times New Roman" w:cs="Times New Roman"/>
          <w:sz w:val="24"/>
          <w:szCs w:val="24"/>
        </w:rPr>
        <w:t>, t-tau, and p-tau levels with levels of proteins evaluated by MS (proteomics data) could improve the diagnostic performance. The training and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 evaluation of the model, including leave-one-out cross validation, was the same as for the PLS-DA model described above. The variables of importance (VIP) of the four most important variables (proteins) for each of the four components used for the diagnos</w:t>
      </w:r>
      <w:r w:rsidR="005B5A29" w:rsidRPr="00FD42EB">
        <w:rPr>
          <w:rFonts w:ascii="Times New Roman" w:hAnsi="Times New Roman" w:cs="Times New Roman"/>
          <w:sz w:val="24"/>
          <w:szCs w:val="24"/>
        </w:rPr>
        <w:t xml:space="preserve">tic prediction were automatically selected and extracted from the model. The analysis was performed using the </w:t>
      </w:r>
      <w:proofErr w:type="spellStart"/>
      <w:r w:rsidR="005B5A29" w:rsidRPr="00FD42EB">
        <w:rPr>
          <w:rFonts w:ascii="Times New Roman" w:hAnsi="Times New Roman" w:cs="Times New Roman"/>
          <w:sz w:val="24"/>
          <w:szCs w:val="24"/>
        </w:rPr>
        <w:t>mixOmics</w:t>
      </w:r>
      <w:proofErr w:type="spellEnd"/>
      <w:r w:rsidR="005B5A29" w:rsidRPr="00FD42EB">
        <w:rPr>
          <w:rFonts w:ascii="Times New Roman" w:hAnsi="Times New Roman" w:cs="Times New Roman"/>
          <w:sz w:val="24"/>
          <w:szCs w:val="24"/>
        </w:rPr>
        <w:t xml:space="preserve"> R package </w:t>
      </w:r>
      <w:r w:rsidR="005B5A29" w:rsidRPr="00FD42EB">
        <w:rPr>
          <w:rFonts w:ascii="Times New Roman" w:hAnsi="Times New Roman" w:cs="Times New Roman"/>
          <w:color w:val="000000"/>
          <w:sz w:val="24"/>
          <w:szCs w:val="24"/>
        </w:rPr>
        <w:t>[8]</w:t>
      </w:r>
      <w:r w:rsidR="005B5A29" w:rsidRPr="00FD42EB">
        <w:rPr>
          <w:rFonts w:ascii="Times New Roman" w:hAnsi="Times New Roman" w:cs="Times New Roman"/>
          <w:sz w:val="24"/>
          <w:szCs w:val="24"/>
        </w:rPr>
        <w:t>.</w:t>
      </w:r>
    </w:p>
    <w:p w:rsidR="00FD42EB" w:rsidRPr="00FD42EB" w:rsidRDefault="00FD42EB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5A29" w:rsidRDefault="005B5A29" w:rsidP="00FD42EB">
      <w:pPr>
        <w:pStyle w:val="Heading1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1t3h5sf" w:colFirst="0" w:colLast="0"/>
      <w:bookmarkEnd w:id="6"/>
    </w:p>
    <w:p w:rsidR="005B5A29" w:rsidRDefault="005B5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3484" w:rsidRPr="00FD42EB" w:rsidRDefault="005B5A29" w:rsidP="00FD42EB">
      <w:pPr>
        <w:pStyle w:val="Heading1"/>
        <w:tabs>
          <w:tab w:val="left" w:pos="360"/>
        </w:tabs>
        <w:spacing w:before="0"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FD42E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6B3484" w:rsidRP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Chambers MC, Maclean B, Burke R,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Amodei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D, Ruderman DL, Neumann S,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Gatto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L, Fischer B, Pratt B,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Egertson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J, Hoff K,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Kessner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D, Tasman N, Shulman N,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Frewen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B, Baker TA,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Brusniak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MY, Paulse C, Creasy D,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Flashner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L,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Kani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Moulding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C, Seymour SL,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Nuways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LM, Lefebvre B, Kuhlmann F, Roark J, Rainer P,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Detlev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S, Hemenway T,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Huhmer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A, Langridge J, Connolly B,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Chadick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T, Holly K, Eckels J, Deutsch EW, Moritz RL, Katz JE,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Agus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DB,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MacCoss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M, Tabb DL, Mallick P (2012) A cross-platform toolkit for mass spectro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metry and proteomics. </w:t>
      </w:r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Nat </w:t>
      </w:r>
      <w:proofErr w:type="spellStart"/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>Biotechnol</w:t>
      </w:r>
      <w:proofErr w:type="spellEnd"/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EB" w:rsidRPr="00FD42EB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918-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484" w:rsidRP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Rost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HL,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Sachsenberg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Aiche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Bielow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C, Weisser H,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Aicheler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F, Andreotti S, Ehrlich HC,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Gutenbrunner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P,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Kenar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E, Liang X,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Nahnsen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Nilse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L,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Pfeuffer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J, Rosenberger G, Rurik M, Schmitt U,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Veit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J,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Walzer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Wojnar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D,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Wolski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WE, Schilling O, Choudhary JS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, Malmstrom L,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Aebersold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R, Reinert K,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Kohlbacher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O (2016)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OpenMS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: a flexible open-source software platform for mass spectrometry data analysis. </w:t>
      </w:r>
      <w:r w:rsidRPr="00FD42EB">
        <w:rPr>
          <w:rFonts w:ascii="Times New Roman" w:hAnsi="Times New Roman" w:cs="Times New Roman"/>
          <w:i/>
          <w:color w:val="000000"/>
          <w:sz w:val="24"/>
          <w:szCs w:val="24"/>
        </w:rPr>
        <w:t>Nat</w:t>
      </w:r>
      <w:r w:rsidRPr="00FD42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Methods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2EB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, 741–748.</w:t>
      </w:r>
    </w:p>
    <w:p w:rsidR="006B3484" w:rsidRP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[3]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Serang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MacCoss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MJ, Noble WS (2010) Efficient 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marginalization to compute protein posterior probabilities from shotgun mass spectrometry data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42EB" w:rsidRPr="00FD42EB">
        <w:t xml:space="preserve"> </w:t>
      </w:r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>J Proteome Res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EB" w:rsidRPr="00FD42E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5346-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57.</w:t>
      </w:r>
    </w:p>
    <w:p w:rsidR="006B3484" w:rsidRP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[4]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Weisser H,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Nahnsen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S, Grossmann J,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Nilse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L,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Quandt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Brauer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H, Sturm M,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Kenar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Kohlbacher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Aebersold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R, Malmstrom L (2013) An automated pipeline for high-throughput label-free quantitative proteomics. </w:t>
      </w:r>
      <w:r w:rsidRPr="00FD42EB">
        <w:rPr>
          <w:rFonts w:ascii="Times New Roman" w:hAnsi="Times New Roman" w:cs="Times New Roman"/>
          <w:i/>
          <w:color w:val="000000"/>
          <w:sz w:val="24"/>
          <w:szCs w:val="24"/>
        </w:rPr>
        <w:t>J. Proteome Res</w:t>
      </w:r>
      <w:r w:rsidR="00FD42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42E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, 1628–1644.</w:t>
      </w:r>
    </w:p>
    <w:p w:rsidR="006B3484" w:rsidRP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[5]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R Core Team (2013)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R: A l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anguage and environment for statistical computing. R Foundation for Statistical Computing, Vienna, Austria.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http://www.R-project.org.</w:t>
      </w:r>
    </w:p>
    <w:p w:rsidR="006B3484" w:rsidRP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[6]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Huber W, von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Heydebreck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Sültmann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H,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Poustka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Vingron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M (2002) Variance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stabilization applied to microarray data calibration and to the quantification of differential expression. </w:t>
      </w:r>
      <w:r w:rsidRPr="00FD42EB">
        <w:rPr>
          <w:rFonts w:ascii="Times New Roman" w:hAnsi="Times New Roman" w:cs="Times New Roman"/>
          <w:i/>
          <w:color w:val="000000"/>
          <w:sz w:val="24"/>
          <w:szCs w:val="24"/>
        </w:rPr>
        <w:t>Bioinformatics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2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 </w:t>
      </w:r>
      <w:proofErr w:type="spellStart"/>
      <w:r w:rsidRPr="00FD42EB">
        <w:rPr>
          <w:rFonts w:ascii="Times New Roman" w:hAnsi="Times New Roman" w:cs="Times New Roman"/>
          <w:b/>
          <w:color w:val="000000"/>
          <w:sz w:val="24"/>
          <w:szCs w:val="24"/>
        </w:rPr>
        <w:t>Suppl</w:t>
      </w:r>
      <w:proofErr w:type="spellEnd"/>
      <w:r w:rsidRPr="00FD42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, S96–104.</w:t>
      </w:r>
    </w:p>
    <w:p w:rsid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[7]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Smyth GK (20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D42E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>imma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linear models for microarray data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>. In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>Bioinformatics</w:t>
      </w:r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>and Computational Biology Solutions using R and Bioconductor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, Gentleman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, Carey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Dudoit</w:t>
      </w:r>
      <w:proofErr w:type="spellEnd"/>
      <w:r w:rsidR="00FD42EB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, Irizarry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, Huber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 xml:space="preserve"> W, 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eds. Springer, New York, 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>pp.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397–420.</w:t>
      </w:r>
    </w:p>
    <w:p w:rsidR="00FD42EB" w:rsidRPr="00FD42EB" w:rsidRDefault="005B5A29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[8]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Rohart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F, Gautier B, Singh A, 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>Lê Cao KA</w:t>
      </w:r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(2017) </w:t>
      </w:r>
      <w:proofErr w:type="spell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mixOmics</w:t>
      </w:r>
      <w:proofErr w:type="spell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D42EB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R package for ’omics feature selection and multiple data integration. </w:t>
      </w:r>
      <w:proofErr w:type="spellStart"/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>PLoS</w:t>
      </w:r>
      <w:proofErr w:type="spellEnd"/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>Comput</w:t>
      </w:r>
      <w:proofErr w:type="spellEnd"/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D42EB" w:rsidRPr="00FD42EB">
        <w:rPr>
          <w:rFonts w:ascii="Times New Roman" w:hAnsi="Times New Roman" w:cs="Times New Roman"/>
          <w:i/>
          <w:color w:val="000000"/>
          <w:sz w:val="24"/>
          <w:szCs w:val="24"/>
        </w:rPr>
        <w:t>Biol</w:t>
      </w:r>
      <w:proofErr w:type="spellEnd"/>
      <w:r w:rsidR="00FD42EB" w:rsidRPr="00FD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EB" w:rsidRPr="00FD42EB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FD42EB">
        <w:rPr>
          <w:rFonts w:ascii="Times New Roman" w:hAnsi="Times New Roman" w:cs="Times New Roman"/>
          <w:color w:val="000000"/>
          <w:sz w:val="24"/>
          <w:szCs w:val="24"/>
        </w:rPr>
        <w:t>, e1005752.</w:t>
      </w:r>
    </w:p>
    <w:p w:rsidR="006B3484" w:rsidRPr="00FD42EB" w:rsidRDefault="006B3484" w:rsidP="00FD42EB">
      <w:p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3484" w:rsidRPr="00FD42EB" w:rsidRDefault="006B3484" w:rsidP="00FD42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B3484" w:rsidRPr="00FD42EB" w:rsidSect="00FD42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1EB"/>
    <w:multiLevelType w:val="multilevel"/>
    <w:tmpl w:val="C7E41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4"/>
    <w:rsid w:val="002245CD"/>
    <w:rsid w:val="005B5A29"/>
    <w:rsid w:val="006B3484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3144"/>
  <w15:docId w15:val="{DA39CD48-91D5-9D43-A12D-83A580F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Kumar</cp:lastModifiedBy>
  <cp:revision>4</cp:revision>
  <dcterms:created xsi:type="dcterms:W3CDTF">2019-01-03T18:24:00Z</dcterms:created>
  <dcterms:modified xsi:type="dcterms:W3CDTF">2019-01-03T18:34:00Z</dcterms:modified>
</cp:coreProperties>
</file>