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A02" w:rsidRPr="00D16865" w:rsidRDefault="00C434F4" w:rsidP="003A66F8">
      <w:pPr>
        <w:pStyle w:val="Heading1"/>
        <w:rPr>
          <w:rFonts w:asciiTheme="minorHAnsi" w:hAnsiTheme="minorHAnsi"/>
          <w:b w:val="0"/>
          <w:color w:val="auto"/>
          <w:sz w:val="22"/>
          <w:szCs w:val="22"/>
          <w:lang w:val="en-US"/>
        </w:rPr>
      </w:pPr>
      <w:r w:rsidRPr="00D16865">
        <w:rPr>
          <w:rFonts w:asciiTheme="minorHAnsi" w:hAnsiTheme="minorHAnsi"/>
          <w:b w:val="0"/>
          <w:color w:val="auto"/>
          <w:sz w:val="22"/>
          <w:szCs w:val="22"/>
          <w:lang w:val="en-US"/>
        </w:rPr>
        <w:t>Supplementary Table 5</w:t>
      </w:r>
      <w:r w:rsidR="00D16865" w:rsidRPr="00D16865">
        <w:rPr>
          <w:rFonts w:asciiTheme="minorHAnsi" w:hAnsiTheme="minorHAnsi"/>
          <w:b w:val="0"/>
          <w:color w:val="auto"/>
          <w:sz w:val="22"/>
          <w:szCs w:val="22"/>
          <w:lang w:val="en-US"/>
        </w:rPr>
        <w:t>.</w:t>
      </w:r>
      <w:r w:rsidR="008425EB" w:rsidRPr="00D16865">
        <w:rPr>
          <w:rFonts w:asciiTheme="minorHAnsi" w:hAnsiTheme="minorHAnsi"/>
          <w:b w:val="0"/>
          <w:color w:val="auto"/>
          <w:sz w:val="22"/>
          <w:szCs w:val="22"/>
          <w:lang w:val="en-US"/>
        </w:rPr>
        <w:t xml:space="preserve"> </w:t>
      </w:r>
      <w:r w:rsidR="00CB59D2" w:rsidRPr="00D16865">
        <w:rPr>
          <w:rFonts w:asciiTheme="minorHAnsi" w:hAnsiTheme="minorHAnsi"/>
          <w:b w:val="0"/>
          <w:color w:val="auto"/>
          <w:sz w:val="22"/>
          <w:szCs w:val="22"/>
          <w:lang w:val="en-US"/>
        </w:rPr>
        <w:t xml:space="preserve">Characteristics of </w:t>
      </w:r>
      <w:r w:rsidR="00010037" w:rsidRPr="00D16865">
        <w:rPr>
          <w:rFonts w:asciiTheme="minorHAnsi" w:hAnsiTheme="minorHAnsi"/>
          <w:b w:val="0"/>
          <w:color w:val="auto"/>
          <w:sz w:val="22"/>
          <w:szCs w:val="22"/>
          <w:lang w:val="en-US"/>
        </w:rPr>
        <w:t>ADNI studies</w:t>
      </w:r>
      <w:r w:rsidR="00660D37" w:rsidRPr="00D16865">
        <w:rPr>
          <w:rFonts w:asciiTheme="minorHAnsi" w:hAnsiTheme="minorHAnsi"/>
          <w:b w:val="0"/>
          <w:color w:val="auto"/>
          <w:sz w:val="22"/>
          <w:szCs w:val="22"/>
          <w:lang w:val="en-US"/>
        </w:rPr>
        <w:t xml:space="preserve"> </w:t>
      </w:r>
    </w:p>
    <w:p w:rsidR="0031616E" w:rsidRPr="00D16865" w:rsidRDefault="0031616E" w:rsidP="0031616E">
      <w:pPr>
        <w:rPr>
          <w:lang w:val="en-US"/>
        </w:rPr>
      </w:pPr>
    </w:p>
    <w:tbl>
      <w:tblPr>
        <w:tblStyle w:val="TableGrid"/>
        <w:tblW w:w="0" w:type="auto"/>
        <w:tblBorders>
          <w:insideV w:val="none" w:sz="0" w:space="0" w:color="auto"/>
        </w:tblBorders>
        <w:tblLook w:val="04A0" w:firstRow="1" w:lastRow="0" w:firstColumn="1" w:lastColumn="0" w:noHBand="0" w:noVBand="1"/>
      </w:tblPr>
      <w:tblGrid>
        <w:gridCol w:w="2771"/>
        <w:gridCol w:w="11177"/>
      </w:tblGrid>
      <w:tr w:rsidR="00DA4731" w:rsidRPr="00D16865" w:rsidTr="0031616E">
        <w:tc>
          <w:tcPr>
            <w:tcW w:w="13948" w:type="dxa"/>
            <w:gridSpan w:val="2"/>
          </w:tcPr>
          <w:p w:rsidR="00DA4731" w:rsidRPr="00D16865" w:rsidRDefault="00010037" w:rsidP="008425EB">
            <w:pPr>
              <w:rPr>
                <w:lang w:val="en-US"/>
              </w:rPr>
            </w:pPr>
            <w:proofErr w:type="spellStart"/>
            <w:r w:rsidRPr="00D16865">
              <w:rPr>
                <w:b/>
                <w:lang w:val="en-US"/>
              </w:rPr>
              <w:t>A</w:t>
            </w:r>
            <w:r w:rsidR="005D7A98" w:rsidRPr="00D16865">
              <w:rPr>
                <w:b/>
                <w:lang w:val="en-US"/>
              </w:rPr>
              <w:t>r</w:t>
            </w:r>
            <w:r w:rsidR="001E2ACB" w:rsidRPr="00D16865">
              <w:rPr>
                <w:b/>
                <w:lang w:val="en-US"/>
              </w:rPr>
              <w:t>b</w:t>
            </w:r>
            <w:r w:rsidRPr="00D16865">
              <w:rPr>
                <w:b/>
                <w:lang w:val="en-US"/>
              </w:rPr>
              <w:t>izu</w:t>
            </w:r>
            <w:proofErr w:type="spellEnd"/>
            <w:r w:rsidRPr="00D16865">
              <w:rPr>
                <w:b/>
                <w:lang w:val="en-US"/>
              </w:rPr>
              <w:t xml:space="preserve"> 2013</w:t>
            </w:r>
          </w:p>
        </w:tc>
      </w:tr>
      <w:tr w:rsidR="00DA4731" w:rsidRPr="00D16865" w:rsidTr="0031616E">
        <w:tc>
          <w:tcPr>
            <w:tcW w:w="2771" w:type="dxa"/>
          </w:tcPr>
          <w:p w:rsidR="00DA4731" w:rsidRPr="00D16865" w:rsidRDefault="00DA4731">
            <w:pPr>
              <w:rPr>
                <w:b/>
                <w:lang w:val="en-US"/>
              </w:rPr>
            </w:pPr>
            <w:r w:rsidRPr="00D16865">
              <w:rPr>
                <w:b/>
                <w:lang w:val="en-US"/>
              </w:rPr>
              <w:t>Patient sampling</w:t>
            </w:r>
          </w:p>
        </w:tc>
        <w:tc>
          <w:tcPr>
            <w:tcW w:w="11177" w:type="dxa"/>
          </w:tcPr>
          <w:p w:rsidR="00162DA8" w:rsidRPr="00D16865" w:rsidRDefault="00162DA8" w:rsidP="00162DA8">
            <w:pPr>
              <w:contextualSpacing/>
              <w:rPr>
                <w:lang w:val="en-US"/>
              </w:rPr>
            </w:pPr>
            <w:r w:rsidRPr="00D16865">
              <w:rPr>
                <w:u w:val="single"/>
                <w:lang w:val="en-US"/>
              </w:rPr>
              <w:t>Study design</w:t>
            </w:r>
            <w:r w:rsidR="006D107C" w:rsidRPr="00D16865">
              <w:rPr>
                <w:lang w:val="en-US"/>
              </w:rPr>
              <w:t>:</w:t>
            </w:r>
            <w:r w:rsidR="00876DC0" w:rsidRPr="00D16865">
              <w:rPr>
                <w:lang w:val="en-US"/>
              </w:rPr>
              <w:t xml:space="preserve"> nested case-control</w:t>
            </w:r>
            <w:r w:rsidR="000C4CEC" w:rsidRPr="00D16865">
              <w:rPr>
                <w:lang w:val="en-US"/>
              </w:rPr>
              <w:t xml:space="preserve"> study; </w:t>
            </w:r>
            <w:r w:rsidR="00557B9D" w:rsidRPr="00D16865">
              <w:rPr>
                <w:lang w:val="en-US"/>
              </w:rPr>
              <w:t>retrospective analysis of longitudinal data from ADNI database</w:t>
            </w:r>
          </w:p>
          <w:p w:rsidR="00162DA8" w:rsidRPr="00D16865" w:rsidRDefault="006D107C" w:rsidP="006D107C">
            <w:pPr>
              <w:autoSpaceDE w:val="0"/>
              <w:autoSpaceDN w:val="0"/>
              <w:adjustRightInd w:val="0"/>
              <w:rPr>
                <w:rFonts w:cs="AdvTT3713a231"/>
                <w:color w:val="131413"/>
                <w:lang w:val="en-US"/>
              </w:rPr>
            </w:pPr>
            <w:r w:rsidRPr="00D16865">
              <w:rPr>
                <w:rFonts w:cs="AdvTT3713a231"/>
                <w:color w:val="131413"/>
                <w:lang w:val="en-US"/>
              </w:rPr>
              <w:t xml:space="preserve">Participants with baseline </w:t>
            </w:r>
            <w:r w:rsidR="0082003D" w:rsidRPr="00D16865">
              <w:rPr>
                <w:rFonts w:cs="Arial"/>
                <w:vertAlign w:val="superscript"/>
                <w:lang w:val="en-US"/>
              </w:rPr>
              <w:t>18</w:t>
            </w:r>
            <w:r w:rsidR="0082003D" w:rsidRPr="00D16865">
              <w:rPr>
                <w:rFonts w:cs="Arial"/>
                <w:lang w:val="en-US"/>
              </w:rPr>
              <w:t>F-FDG PET</w:t>
            </w:r>
            <w:r w:rsidR="0082003D" w:rsidRPr="00D16865">
              <w:rPr>
                <w:rFonts w:cs="AdvTT3713a231"/>
                <w:color w:val="131413"/>
                <w:lang w:val="en-US"/>
              </w:rPr>
              <w:t xml:space="preserve"> </w:t>
            </w:r>
            <w:r w:rsidRPr="00D16865">
              <w:rPr>
                <w:rFonts w:cs="AdvTT3713a231"/>
                <w:color w:val="131413"/>
                <w:lang w:val="en-US"/>
              </w:rPr>
              <w:t xml:space="preserve">scan </w:t>
            </w:r>
            <w:r w:rsidR="0039501F" w:rsidRPr="00D16865">
              <w:rPr>
                <w:rFonts w:cs="AdvTT3713a231"/>
                <w:color w:val="131413"/>
                <w:lang w:val="en-US"/>
              </w:rPr>
              <w:t xml:space="preserve">were </w:t>
            </w:r>
            <w:r w:rsidRPr="00D16865">
              <w:rPr>
                <w:rFonts w:cs="AdvTT3713a231"/>
                <w:color w:val="131413"/>
                <w:lang w:val="en-US"/>
              </w:rPr>
              <w:t xml:space="preserve">recruited from ADNI database: 80 healthy subjects (HS), 36 patients with mild cognitive impairment (MCI) who converted to AD dementia within 18 months, 85 non-converter MCI patients who did not convert within 24 months, and 67 with </w:t>
            </w:r>
            <w:r w:rsidR="0039501F" w:rsidRPr="00D16865">
              <w:rPr>
                <w:rFonts w:cs="AdvTT3713a231"/>
                <w:color w:val="131413"/>
                <w:lang w:val="en-US"/>
              </w:rPr>
              <w:t>AD dementia. Additionally, p</w:t>
            </w:r>
            <w:r w:rsidRPr="00D16865">
              <w:rPr>
                <w:rFonts w:cs="AdvTT3713a231"/>
                <w:color w:val="131413"/>
                <w:lang w:val="en-US"/>
              </w:rPr>
              <w:t>articipants were recruited from</w:t>
            </w:r>
            <w:r w:rsidR="0039501F" w:rsidRPr="00D16865">
              <w:rPr>
                <w:rFonts w:cs="AdvTT3713a231"/>
                <w:color w:val="131413"/>
                <w:lang w:val="en-US"/>
              </w:rPr>
              <w:t xml:space="preserve"> </w:t>
            </w:r>
            <w:r w:rsidRPr="00D16865">
              <w:rPr>
                <w:rFonts w:cs="AdvTT3713a231"/>
                <w:color w:val="131413"/>
                <w:lang w:val="en-US"/>
              </w:rPr>
              <w:t xml:space="preserve">patients at </w:t>
            </w:r>
            <w:proofErr w:type="spellStart"/>
            <w:r w:rsidRPr="00D16865">
              <w:rPr>
                <w:rFonts w:cs="AdvTT3713a231"/>
                <w:color w:val="131413"/>
                <w:lang w:val="en-US"/>
              </w:rPr>
              <w:t>Clínica</w:t>
            </w:r>
            <w:proofErr w:type="spellEnd"/>
            <w:r w:rsidRPr="00D16865">
              <w:rPr>
                <w:rFonts w:cs="AdvTT3713a231"/>
                <w:color w:val="131413"/>
                <w:lang w:val="en-US"/>
              </w:rPr>
              <w:t xml:space="preserve"> Universidad de Navarra </w:t>
            </w:r>
            <w:r w:rsidR="0039501F" w:rsidRPr="00D16865">
              <w:rPr>
                <w:rFonts w:cs="AdvTT3713a231"/>
                <w:color w:val="131413"/>
                <w:lang w:val="en-US"/>
              </w:rPr>
              <w:t xml:space="preserve">for model validation: </w:t>
            </w:r>
            <w:r w:rsidRPr="00D16865">
              <w:rPr>
                <w:rFonts w:cs="AdvTT3713a231"/>
                <w:color w:val="131413"/>
                <w:lang w:val="en-US"/>
              </w:rPr>
              <w:t>20HS (</w:t>
            </w:r>
            <w:proofErr w:type="spellStart"/>
            <w:r w:rsidRPr="00D16865">
              <w:rPr>
                <w:rFonts w:cs="AdvTT3713a231"/>
                <w:color w:val="131413"/>
                <w:lang w:val="en-US"/>
              </w:rPr>
              <w:t>vHS</w:t>
            </w:r>
            <w:proofErr w:type="spellEnd"/>
            <w:r w:rsidRPr="00D16865">
              <w:rPr>
                <w:rFonts w:cs="AdvTT3713a231"/>
                <w:color w:val="131413"/>
                <w:lang w:val="en-US"/>
              </w:rPr>
              <w:t>), 27 MCI patients (</w:t>
            </w:r>
            <w:proofErr w:type="spellStart"/>
            <w:r w:rsidRPr="00D16865">
              <w:rPr>
                <w:rFonts w:cs="AdvTT3713a231"/>
                <w:color w:val="131413"/>
                <w:lang w:val="en-US"/>
              </w:rPr>
              <w:t>vMCI</w:t>
            </w:r>
            <w:proofErr w:type="spellEnd"/>
            <w:r w:rsidRPr="00D16865">
              <w:rPr>
                <w:rFonts w:cs="AdvTT3713a231"/>
                <w:color w:val="131413"/>
                <w:lang w:val="en-US"/>
              </w:rPr>
              <w:t xml:space="preserve">; six of whom converted within the 18-month follow-up, </w:t>
            </w:r>
            <w:proofErr w:type="spellStart"/>
            <w:r w:rsidRPr="00D16865">
              <w:rPr>
                <w:rFonts w:cs="AdvTT3713a231"/>
                <w:color w:val="131413"/>
                <w:lang w:val="en-US"/>
              </w:rPr>
              <w:t>vMCI</w:t>
            </w:r>
            <w:proofErr w:type="spellEnd"/>
            <w:r w:rsidRPr="00D16865">
              <w:rPr>
                <w:rFonts w:cs="AdvTT3713a231"/>
                <w:color w:val="131413"/>
                <w:lang w:val="en-US"/>
              </w:rPr>
              <w:t>-C) and 21 AD patients</w:t>
            </w:r>
            <w:r w:rsidR="0039501F" w:rsidRPr="00D16865">
              <w:rPr>
                <w:rFonts w:cs="AdvTT3713a231"/>
                <w:color w:val="131413"/>
                <w:lang w:val="en-US"/>
              </w:rPr>
              <w:t xml:space="preserve"> </w:t>
            </w:r>
            <w:r w:rsidRPr="00D16865">
              <w:rPr>
                <w:rFonts w:cs="AdvTT3713a231"/>
                <w:color w:val="131413"/>
                <w:lang w:val="en-US"/>
              </w:rPr>
              <w:t>(</w:t>
            </w:r>
            <w:proofErr w:type="spellStart"/>
            <w:r w:rsidRPr="00D16865">
              <w:rPr>
                <w:rFonts w:cs="AdvTT3713a231"/>
                <w:color w:val="131413"/>
                <w:lang w:val="en-US"/>
              </w:rPr>
              <w:t>vAD</w:t>
            </w:r>
            <w:proofErr w:type="spellEnd"/>
            <w:r w:rsidRPr="00D16865">
              <w:rPr>
                <w:rFonts w:cs="AdvTT3713a231"/>
                <w:color w:val="131413"/>
                <w:lang w:val="en-US"/>
              </w:rPr>
              <w:t>).</w:t>
            </w:r>
            <w:r w:rsidR="004C661D">
              <w:rPr>
                <w:rFonts w:cs="AdvTT3713a231"/>
                <w:color w:val="131413"/>
                <w:lang w:val="en-US"/>
              </w:rPr>
              <w:t xml:space="preserve"> </w:t>
            </w:r>
            <w:r w:rsidR="00162DA8" w:rsidRPr="00D16865">
              <w:rPr>
                <w:rFonts w:eastAsia="Times New Roman" w:cs="Arial"/>
                <w:lang w:val="en-US" w:eastAsia="en-GB"/>
              </w:rPr>
              <w:t>We only included data on performance of the index test to discriminate between patients with MCI who convert to dementia and those who remained stable.</w:t>
            </w:r>
          </w:p>
          <w:p w:rsidR="00DA4731" w:rsidRPr="00D16865" w:rsidRDefault="00162DA8" w:rsidP="000F5046">
            <w:pPr>
              <w:pStyle w:val="NormalWeb"/>
              <w:rPr>
                <w:rFonts w:asciiTheme="minorHAnsi" w:hAnsiTheme="minorHAnsi" w:cs="Arial"/>
                <w:sz w:val="22"/>
                <w:szCs w:val="22"/>
                <w:lang w:val="en-US"/>
              </w:rPr>
            </w:pPr>
            <w:r w:rsidRPr="00D16865">
              <w:rPr>
                <w:rFonts w:asciiTheme="minorHAnsi" w:hAnsiTheme="minorHAnsi" w:cs="Arial"/>
                <w:sz w:val="22"/>
                <w:szCs w:val="22"/>
                <w:u w:val="single"/>
                <w:lang w:val="en-US"/>
              </w:rPr>
              <w:t>Exclusion criteria</w:t>
            </w:r>
            <w:r w:rsidRPr="00D16865">
              <w:rPr>
                <w:rFonts w:asciiTheme="minorHAnsi" w:hAnsiTheme="minorHAnsi" w:cs="Arial"/>
                <w:sz w:val="22"/>
                <w:szCs w:val="22"/>
                <w:lang w:val="en-US"/>
              </w:rPr>
              <w:t xml:space="preserve">: </w:t>
            </w:r>
            <w:r w:rsidR="000F5046" w:rsidRPr="00D16865">
              <w:rPr>
                <w:rFonts w:asciiTheme="minorHAnsi" w:hAnsiTheme="minorHAnsi" w:cs="Arial"/>
                <w:sz w:val="22"/>
                <w:szCs w:val="22"/>
                <w:lang w:val="en-US"/>
              </w:rPr>
              <w:t>not reported</w:t>
            </w:r>
          </w:p>
        </w:tc>
      </w:tr>
      <w:tr w:rsidR="00DA4731" w:rsidRPr="00D16865" w:rsidTr="0031616E">
        <w:tc>
          <w:tcPr>
            <w:tcW w:w="2771" w:type="dxa"/>
          </w:tcPr>
          <w:p w:rsidR="00DA4731" w:rsidRPr="00D16865" w:rsidRDefault="00DA4731">
            <w:pPr>
              <w:rPr>
                <w:b/>
                <w:lang w:val="en-US"/>
              </w:rPr>
            </w:pPr>
            <w:r w:rsidRPr="00D16865">
              <w:rPr>
                <w:b/>
                <w:lang w:val="en-US"/>
              </w:rPr>
              <w:t>Patient characteristics and settings</w:t>
            </w:r>
          </w:p>
        </w:tc>
        <w:tc>
          <w:tcPr>
            <w:tcW w:w="11177" w:type="dxa"/>
          </w:tcPr>
          <w:p w:rsidR="00162DA8" w:rsidRPr="00D16865" w:rsidRDefault="004B00E6" w:rsidP="00162DA8">
            <w:pPr>
              <w:spacing w:after="120"/>
              <w:contextualSpacing/>
              <w:rPr>
                <w:rFonts w:eastAsia="Times New Roman" w:cs="Arial"/>
                <w:lang w:val="en-US" w:eastAsia="en-GB"/>
              </w:rPr>
            </w:pPr>
            <w:r w:rsidRPr="00D16865">
              <w:rPr>
                <w:rFonts w:eastAsia="Times New Roman" w:cs="Arial"/>
                <w:lang w:val="en-US" w:eastAsia="en-GB"/>
              </w:rPr>
              <w:t xml:space="preserve">121 </w:t>
            </w:r>
            <w:r w:rsidR="00162DA8" w:rsidRPr="00D16865">
              <w:rPr>
                <w:rFonts w:eastAsia="Times New Roman" w:cs="Arial"/>
                <w:lang w:val="en-US" w:eastAsia="en-GB"/>
              </w:rPr>
              <w:t xml:space="preserve">participants diagnosed by </w:t>
            </w:r>
            <w:r w:rsidR="000C4CEC" w:rsidRPr="00D16865">
              <w:rPr>
                <w:rFonts w:eastAsia="Times New Roman" w:cs="Arial"/>
                <w:lang w:val="en-US" w:eastAsia="en-GB"/>
              </w:rPr>
              <w:t>Petersen 2004 criteria: 36 MCI-AD and 85 MCI-MCI</w:t>
            </w:r>
          </w:p>
          <w:p w:rsidR="00162DA8" w:rsidRPr="00D16865" w:rsidRDefault="00162DA8" w:rsidP="00162DA8">
            <w:pPr>
              <w:spacing w:after="120"/>
              <w:contextualSpacing/>
              <w:rPr>
                <w:rFonts w:eastAsia="Times New Roman" w:cs="Arial"/>
                <w:lang w:val="en-US" w:eastAsia="en-GB"/>
              </w:rPr>
            </w:pPr>
            <w:r w:rsidRPr="00D16865">
              <w:rPr>
                <w:rFonts w:eastAsia="Times New Roman" w:cs="Arial"/>
                <w:u w:val="single"/>
                <w:lang w:val="en-US" w:eastAsia="en-GB"/>
              </w:rPr>
              <w:t xml:space="preserve">Gender: </w:t>
            </w:r>
            <w:r w:rsidR="004B00E6" w:rsidRPr="00D16865">
              <w:rPr>
                <w:rFonts w:eastAsia="Times New Roman" w:cs="Arial"/>
                <w:lang w:val="en-US" w:eastAsia="en-GB"/>
              </w:rPr>
              <w:t xml:space="preserve"> women </w:t>
            </w:r>
            <w:r w:rsidR="009A34C6" w:rsidRPr="00D16865">
              <w:rPr>
                <w:rFonts w:eastAsia="Times New Roman" w:cs="Arial"/>
                <w:lang w:val="en-US" w:eastAsia="en-GB"/>
              </w:rPr>
              <w:t xml:space="preserve">15 </w:t>
            </w:r>
            <w:r w:rsidR="004B00E6" w:rsidRPr="00D16865">
              <w:rPr>
                <w:rFonts w:eastAsia="Times New Roman" w:cs="Arial"/>
                <w:lang w:val="en-US" w:eastAsia="en-GB"/>
              </w:rPr>
              <w:t>and</w:t>
            </w:r>
            <w:r w:rsidRPr="00D16865">
              <w:rPr>
                <w:rFonts w:eastAsia="Times New Roman" w:cs="Arial"/>
                <w:lang w:val="en-US" w:eastAsia="en-GB"/>
              </w:rPr>
              <w:t xml:space="preserve"> men</w:t>
            </w:r>
            <w:r w:rsidR="009A34C6" w:rsidRPr="00D16865">
              <w:rPr>
                <w:rFonts w:eastAsia="Times New Roman" w:cs="Arial"/>
                <w:lang w:val="en-US" w:eastAsia="en-GB"/>
              </w:rPr>
              <w:t xml:space="preserve"> 21</w:t>
            </w:r>
            <w:r w:rsidR="004B00E6" w:rsidRPr="00D16865">
              <w:rPr>
                <w:rFonts w:eastAsia="Times New Roman" w:cs="Arial"/>
                <w:lang w:val="en-US" w:eastAsia="en-GB"/>
              </w:rPr>
              <w:t xml:space="preserve"> MCI converters; women</w:t>
            </w:r>
            <w:r w:rsidR="009A34C6" w:rsidRPr="00D16865">
              <w:rPr>
                <w:rFonts w:eastAsia="Times New Roman" w:cs="Arial"/>
                <w:lang w:val="en-US" w:eastAsia="en-GB"/>
              </w:rPr>
              <w:t xml:space="preserve"> 25</w:t>
            </w:r>
            <w:r w:rsidR="004B00E6" w:rsidRPr="00D16865">
              <w:rPr>
                <w:rFonts w:eastAsia="Times New Roman" w:cs="Arial"/>
                <w:lang w:val="en-US" w:eastAsia="en-GB"/>
              </w:rPr>
              <w:t xml:space="preserve"> and men </w:t>
            </w:r>
            <w:r w:rsidR="009A34C6" w:rsidRPr="00D16865">
              <w:rPr>
                <w:rFonts w:eastAsia="Times New Roman" w:cs="Arial"/>
                <w:lang w:val="en-US" w:eastAsia="en-GB"/>
              </w:rPr>
              <w:t xml:space="preserve">60 </w:t>
            </w:r>
            <w:r w:rsidR="004B00E6" w:rsidRPr="00D16865">
              <w:rPr>
                <w:rFonts w:eastAsia="Times New Roman" w:cs="Arial"/>
                <w:lang w:val="en-US" w:eastAsia="en-GB"/>
              </w:rPr>
              <w:t>non-MCI converters</w:t>
            </w:r>
          </w:p>
          <w:p w:rsidR="00162DA8" w:rsidRPr="00D16865" w:rsidRDefault="00162DA8" w:rsidP="00162DA8">
            <w:pPr>
              <w:spacing w:after="120"/>
              <w:contextualSpacing/>
              <w:rPr>
                <w:rFonts w:eastAsia="Times New Roman" w:cs="Arial"/>
                <w:lang w:val="en-US" w:eastAsia="en-GB"/>
              </w:rPr>
            </w:pPr>
            <w:r w:rsidRPr="00D16865">
              <w:rPr>
                <w:rFonts w:eastAsia="Times New Roman" w:cs="Arial"/>
                <w:u w:val="single"/>
                <w:lang w:val="en-US" w:eastAsia="en-GB"/>
              </w:rPr>
              <w:t>Age</w:t>
            </w:r>
            <w:r w:rsidR="001C7711" w:rsidRPr="00D16865">
              <w:rPr>
                <w:rFonts w:eastAsia="Times New Roman" w:cs="Arial"/>
                <w:u w:val="single"/>
                <w:lang w:val="en-US" w:eastAsia="en-GB"/>
              </w:rPr>
              <w:t>(y</w:t>
            </w:r>
            <w:r w:rsidR="004B00E6" w:rsidRPr="00D16865">
              <w:rPr>
                <w:rFonts w:eastAsia="Times New Roman" w:cs="Arial"/>
                <w:u w:val="single"/>
                <w:lang w:val="en-US" w:eastAsia="en-GB"/>
              </w:rPr>
              <w:t>)</w:t>
            </w:r>
            <w:r w:rsidRPr="00D16865">
              <w:rPr>
                <w:rFonts w:eastAsia="Times New Roman" w:cs="Arial"/>
                <w:u w:val="single"/>
                <w:lang w:val="en-US" w:eastAsia="en-GB"/>
              </w:rPr>
              <w:t>:</w:t>
            </w:r>
            <w:r w:rsidRPr="00D16865">
              <w:rPr>
                <w:rFonts w:eastAsia="Times New Roman" w:cs="Arial"/>
                <w:lang w:val="en-US" w:eastAsia="en-GB"/>
              </w:rPr>
              <w:t xml:space="preserve"> MCI converters </w:t>
            </w:r>
            <w:r w:rsidR="004B00E6" w:rsidRPr="00D16865">
              <w:rPr>
                <w:rFonts w:eastAsia="Times New Roman" w:cs="Arial"/>
                <w:lang w:val="en-US" w:eastAsia="en-GB"/>
              </w:rPr>
              <w:t>77 (range 65-89)</w:t>
            </w:r>
            <w:r w:rsidRPr="00D16865">
              <w:rPr>
                <w:rFonts w:eastAsia="Times New Roman" w:cs="Arial"/>
                <w:lang w:val="en-US" w:eastAsia="en-GB"/>
              </w:rPr>
              <w:t xml:space="preserve">; non-MCI converters </w:t>
            </w:r>
            <w:r w:rsidR="004B00E6" w:rsidRPr="00D16865">
              <w:rPr>
                <w:rFonts w:eastAsia="Times New Roman" w:cs="Arial"/>
                <w:lang w:val="en-US" w:eastAsia="en-GB"/>
              </w:rPr>
              <w:t>77 (range 65-87</w:t>
            </w:r>
            <w:r w:rsidR="000D1ED3" w:rsidRPr="00D16865">
              <w:rPr>
                <w:rFonts w:eastAsia="Times New Roman" w:cs="Arial"/>
                <w:lang w:val="en-US" w:eastAsia="en-GB"/>
              </w:rPr>
              <w:t>)</w:t>
            </w:r>
          </w:p>
          <w:p w:rsidR="00162DA8" w:rsidRPr="00D16865" w:rsidRDefault="00162DA8" w:rsidP="00162DA8">
            <w:pPr>
              <w:spacing w:after="120"/>
              <w:contextualSpacing/>
              <w:rPr>
                <w:rFonts w:eastAsia="Times New Roman" w:cs="Arial"/>
                <w:lang w:val="en-US" w:eastAsia="en-GB"/>
              </w:rPr>
            </w:pPr>
            <w:r w:rsidRPr="00D16865">
              <w:rPr>
                <w:rFonts w:eastAsia="Times New Roman" w:cs="Arial"/>
                <w:u w:val="single"/>
                <w:lang w:val="en-US" w:eastAsia="en-GB"/>
              </w:rPr>
              <w:t>APOE ε4 carrier:</w:t>
            </w:r>
            <w:r w:rsidRPr="00D16865">
              <w:rPr>
                <w:rFonts w:eastAsia="Times New Roman" w:cs="Arial"/>
                <w:lang w:val="en-US" w:eastAsia="en-GB"/>
              </w:rPr>
              <w:t xml:space="preserve"> MCI converters </w:t>
            </w:r>
            <w:r w:rsidR="0060764C" w:rsidRPr="00D16865">
              <w:rPr>
                <w:rFonts w:eastAsia="Times New Roman" w:cs="Arial"/>
                <w:lang w:val="en-US" w:eastAsia="en-GB"/>
              </w:rPr>
              <w:t>24/36 (67</w:t>
            </w:r>
            <w:r w:rsidR="009A34C6" w:rsidRPr="00D16865">
              <w:rPr>
                <w:rFonts w:eastAsia="Times New Roman" w:cs="Arial"/>
                <w:lang w:val="en-US" w:eastAsia="en-GB"/>
              </w:rPr>
              <w:t>%)</w:t>
            </w:r>
            <w:r w:rsidRPr="00D16865">
              <w:rPr>
                <w:rFonts w:eastAsia="Times New Roman" w:cs="Arial"/>
                <w:lang w:val="en-US" w:eastAsia="en-GB"/>
              </w:rPr>
              <w:t xml:space="preserve">; non-MCI converters </w:t>
            </w:r>
            <w:r w:rsidR="0060764C" w:rsidRPr="00D16865">
              <w:rPr>
                <w:rFonts w:eastAsia="Times New Roman" w:cs="Arial"/>
                <w:lang w:val="en-US" w:eastAsia="en-GB"/>
              </w:rPr>
              <w:t>37/85 (43</w:t>
            </w:r>
            <w:r w:rsidR="009A34C6" w:rsidRPr="00D16865">
              <w:rPr>
                <w:rFonts w:eastAsia="Times New Roman" w:cs="Arial"/>
                <w:lang w:val="en-US" w:eastAsia="en-GB"/>
              </w:rPr>
              <w:t>%)</w:t>
            </w:r>
          </w:p>
          <w:p w:rsidR="00162DA8" w:rsidRPr="00D16865" w:rsidRDefault="00162DA8" w:rsidP="00162DA8">
            <w:pPr>
              <w:spacing w:after="120"/>
              <w:contextualSpacing/>
              <w:rPr>
                <w:rFonts w:eastAsia="Times New Roman" w:cs="Arial"/>
                <w:lang w:val="en-US" w:eastAsia="en-GB"/>
              </w:rPr>
            </w:pPr>
            <w:r w:rsidRPr="00D16865">
              <w:rPr>
                <w:rFonts w:eastAsia="Times New Roman" w:cs="Arial"/>
                <w:u w:val="single"/>
                <w:lang w:val="en-US" w:eastAsia="en-GB"/>
              </w:rPr>
              <w:t>MMSE:</w:t>
            </w:r>
            <w:r w:rsidRPr="00D16865">
              <w:rPr>
                <w:rFonts w:eastAsia="Times New Roman" w:cs="Arial"/>
                <w:lang w:val="en-US" w:eastAsia="en-GB"/>
              </w:rPr>
              <w:t xml:space="preserve"> MCI converters </w:t>
            </w:r>
            <w:r w:rsidR="00876D30" w:rsidRPr="00D16865">
              <w:rPr>
                <w:rFonts w:eastAsia="Times New Roman" w:cs="Arial"/>
                <w:lang w:val="en-US" w:eastAsia="en-GB"/>
              </w:rPr>
              <w:t>27 (range 24-29)</w:t>
            </w:r>
            <w:r w:rsidRPr="00D16865">
              <w:rPr>
                <w:rFonts w:eastAsia="Times New Roman" w:cs="Arial"/>
                <w:lang w:val="en-US" w:eastAsia="en-GB"/>
              </w:rPr>
              <w:t xml:space="preserve">; non-MCI converters </w:t>
            </w:r>
            <w:r w:rsidR="00876D30" w:rsidRPr="00D16865">
              <w:rPr>
                <w:rFonts w:eastAsia="Times New Roman" w:cs="Arial"/>
                <w:lang w:val="en-US" w:eastAsia="en-GB"/>
              </w:rPr>
              <w:t>28 (range 24-30)</w:t>
            </w:r>
          </w:p>
          <w:p w:rsidR="00162DA8" w:rsidRPr="00D16865" w:rsidRDefault="00162DA8" w:rsidP="00162DA8">
            <w:pPr>
              <w:spacing w:after="120"/>
              <w:contextualSpacing/>
              <w:rPr>
                <w:rFonts w:eastAsia="Times New Roman" w:cs="Arial"/>
                <w:u w:val="single"/>
                <w:lang w:val="en-US" w:eastAsia="en-GB"/>
              </w:rPr>
            </w:pPr>
            <w:r w:rsidRPr="00D16865">
              <w:rPr>
                <w:rFonts w:eastAsia="Times New Roman" w:cs="Arial"/>
                <w:u w:val="single"/>
                <w:lang w:val="en-US" w:eastAsia="en-GB"/>
              </w:rPr>
              <w:t>Education</w:t>
            </w:r>
            <w:r w:rsidR="001C7711" w:rsidRPr="00D16865">
              <w:rPr>
                <w:rFonts w:eastAsia="Times New Roman" w:cs="Arial"/>
                <w:u w:val="single"/>
                <w:lang w:val="en-US" w:eastAsia="en-GB"/>
              </w:rPr>
              <w:t xml:space="preserve"> (y</w:t>
            </w:r>
            <w:r w:rsidR="000D1ED3" w:rsidRPr="00D16865">
              <w:rPr>
                <w:rFonts w:eastAsia="Times New Roman" w:cs="Arial"/>
                <w:u w:val="single"/>
                <w:lang w:val="en-US" w:eastAsia="en-GB"/>
              </w:rPr>
              <w:t>)</w:t>
            </w:r>
            <w:r w:rsidRPr="00D16865">
              <w:rPr>
                <w:rFonts w:eastAsia="Times New Roman" w:cs="Arial"/>
                <w:u w:val="single"/>
                <w:lang w:val="en-US" w:eastAsia="en-GB"/>
              </w:rPr>
              <w:t>:</w:t>
            </w:r>
            <w:r w:rsidR="000D1ED3" w:rsidRPr="00D16865">
              <w:rPr>
                <w:rFonts w:eastAsia="Times New Roman" w:cs="Arial"/>
                <w:u w:val="single"/>
                <w:lang w:val="en-US" w:eastAsia="en-GB"/>
              </w:rPr>
              <w:t xml:space="preserve"> </w:t>
            </w:r>
            <w:r w:rsidR="000D1ED3" w:rsidRPr="00D16865">
              <w:rPr>
                <w:rFonts w:eastAsia="Times New Roman" w:cs="Arial"/>
                <w:lang w:val="en-US" w:eastAsia="en-GB"/>
              </w:rPr>
              <w:t xml:space="preserve">MCI converters </w:t>
            </w:r>
            <w:r w:rsidR="00876D30" w:rsidRPr="00D16865">
              <w:rPr>
                <w:rFonts w:eastAsia="Times New Roman" w:cs="Arial"/>
                <w:lang w:val="en-US" w:eastAsia="en-GB"/>
              </w:rPr>
              <w:t>16 (range 12</w:t>
            </w:r>
            <w:r w:rsidR="000D1ED3" w:rsidRPr="00D16865">
              <w:rPr>
                <w:rFonts w:eastAsia="Times New Roman" w:cs="Arial"/>
                <w:lang w:val="en-US" w:eastAsia="en-GB"/>
              </w:rPr>
              <w:t xml:space="preserve">-20); non-MCI converters </w:t>
            </w:r>
            <w:r w:rsidR="00876D30" w:rsidRPr="00D16865">
              <w:rPr>
                <w:rFonts w:eastAsia="Times New Roman" w:cs="Arial"/>
                <w:lang w:val="en-US" w:eastAsia="en-GB"/>
              </w:rPr>
              <w:t>16</w:t>
            </w:r>
            <w:r w:rsidR="000D1ED3" w:rsidRPr="00D16865">
              <w:rPr>
                <w:rFonts w:eastAsia="Times New Roman" w:cs="Arial"/>
                <w:lang w:val="en-US" w:eastAsia="en-GB"/>
              </w:rPr>
              <w:t xml:space="preserve"> (range 7-20)</w:t>
            </w:r>
          </w:p>
          <w:p w:rsidR="00162DA8" w:rsidRPr="00D16865" w:rsidRDefault="00162DA8" w:rsidP="00162DA8">
            <w:pPr>
              <w:spacing w:after="120"/>
              <w:contextualSpacing/>
              <w:rPr>
                <w:rFonts w:eastAsia="Times New Roman" w:cs="Arial"/>
                <w:lang w:val="en-US" w:eastAsia="en-GB"/>
              </w:rPr>
            </w:pPr>
            <w:r w:rsidRPr="00D16865">
              <w:rPr>
                <w:rFonts w:eastAsia="Times New Roman" w:cs="Arial"/>
                <w:u w:val="single"/>
                <w:lang w:val="en-US" w:eastAsia="en-GB"/>
              </w:rPr>
              <w:t>Sources of referral:</w:t>
            </w:r>
            <w:r w:rsidRPr="00D16865">
              <w:rPr>
                <w:rFonts w:eastAsia="Times New Roman" w:cs="Arial"/>
                <w:lang w:val="en-US" w:eastAsia="en-GB"/>
              </w:rPr>
              <w:t xml:space="preserve"> not reported</w:t>
            </w:r>
          </w:p>
          <w:p w:rsidR="00DA4731" w:rsidRPr="00D16865" w:rsidRDefault="00162DA8" w:rsidP="000F5046">
            <w:pPr>
              <w:spacing w:after="120"/>
              <w:contextualSpacing/>
              <w:rPr>
                <w:rFonts w:eastAsia="Times New Roman" w:cs="Arial"/>
                <w:lang w:val="en-US" w:eastAsia="en-GB"/>
              </w:rPr>
            </w:pPr>
            <w:r w:rsidRPr="00D16865">
              <w:rPr>
                <w:rFonts w:eastAsia="Times New Roman" w:cs="Arial"/>
                <w:u w:val="single"/>
                <w:lang w:val="en-US" w:eastAsia="en-GB"/>
              </w:rPr>
              <w:t>Setting:</w:t>
            </w:r>
            <w:r w:rsidRPr="00D16865">
              <w:rPr>
                <w:rFonts w:eastAsia="Times New Roman" w:cs="Arial"/>
                <w:lang w:val="en-US" w:eastAsia="en-GB"/>
              </w:rPr>
              <w:t xml:space="preserve"> </w:t>
            </w:r>
            <w:r w:rsidR="004C661D" w:rsidRPr="00D16865">
              <w:rPr>
                <w:rFonts w:eastAsia="Times New Roman" w:cs="Arial"/>
                <w:lang w:val="en-US" w:eastAsia="en-GB"/>
              </w:rPr>
              <w:t>multicenter</w:t>
            </w:r>
            <w:r w:rsidR="009A34C6" w:rsidRPr="00D16865">
              <w:rPr>
                <w:rFonts w:eastAsia="Times New Roman" w:cs="Arial"/>
                <w:lang w:val="en-US" w:eastAsia="en-GB"/>
              </w:rPr>
              <w:t xml:space="preserve"> </w:t>
            </w:r>
          </w:p>
        </w:tc>
      </w:tr>
      <w:tr w:rsidR="00DA4731" w:rsidRPr="00D16865" w:rsidTr="0031616E">
        <w:tc>
          <w:tcPr>
            <w:tcW w:w="2771" w:type="dxa"/>
          </w:tcPr>
          <w:p w:rsidR="00DA4731" w:rsidRPr="00D16865" w:rsidRDefault="00DA4731">
            <w:pPr>
              <w:rPr>
                <w:b/>
                <w:lang w:val="en-US"/>
              </w:rPr>
            </w:pPr>
            <w:r w:rsidRPr="00D16865">
              <w:rPr>
                <w:b/>
                <w:lang w:val="en-US"/>
              </w:rPr>
              <w:t>Index test</w:t>
            </w:r>
          </w:p>
        </w:tc>
        <w:tc>
          <w:tcPr>
            <w:tcW w:w="11177" w:type="dxa"/>
          </w:tcPr>
          <w:p w:rsidR="00162DA8" w:rsidRPr="00D16865" w:rsidRDefault="00162DA8" w:rsidP="00162DA8">
            <w:pPr>
              <w:autoSpaceDE w:val="0"/>
              <w:autoSpaceDN w:val="0"/>
              <w:adjustRightInd w:val="0"/>
              <w:rPr>
                <w:rFonts w:cs="Times-Roman"/>
                <w:lang w:val="en-US"/>
              </w:rPr>
            </w:pPr>
            <w:r w:rsidRPr="00D16865">
              <w:rPr>
                <w:vertAlign w:val="superscript"/>
                <w:lang w:val="en-US"/>
              </w:rPr>
              <w:t>18</w:t>
            </w:r>
            <w:r w:rsidR="00876DC0" w:rsidRPr="00D16865">
              <w:rPr>
                <w:lang w:val="en-US"/>
              </w:rPr>
              <w:t>F-</w:t>
            </w:r>
            <w:r w:rsidRPr="00D16865">
              <w:rPr>
                <w:lang w:val="en-US"/>
              </w:rPr>
              <w:t>FDG PET</w:t>
            </w:r>
            <w:r w:rsidRPr="00D16865">
              <w:rPr>
                <w:rFonts w:cs="Times-Roman"/>
                <w:lang w:val="en-US"/>
              </w:rPr>
              <w:t xml:space="preserve"> scan</w:t>
            </w:r>
          </w:p>
          <w:p w:rsidR="000F5046" w:rsidRPr="00D16865" w:rsidRDefault="000F5046" w:rsidP="000D1ED3">
            <w:pPr>
              <w:autoSpaceDE w:val="0"/>
              <w:autoSpaceDN w:val="0"/>
              <w:adjustRightInd w:val="0"/>
              <w:rPr>
                <w:rFonts w:cs="AdvTT3713a231"/>
                <w:i/>
                <w:u w:val="single"/>
                <w:lang w:val="en-US"/>
              </w:rPr>
            </w:pPr>
            <w:r w:rsidRPr="00D16865">
              <w:rPr>
                <w:rFonts w:cs="AdvTT3713a231"/>
                <w:i/>
                <w:u w:val="single"/>
                <w:lang w:val="en-US"/>
              </w:rPr>
              <w:t>Acquisition</w:t>
            </w:r>
          </w:p>
          <w:p w:rsidR="000F5046" w:rsidRPr="00D16865" w:rsidRDefault="00876DC0" w:rsidP="000D1ED3">
            <w:pPr>
              <w:autoSpaceDE w:val="0"/>
              <w:autoSpaceDN w:val="0"/>
              <w:adjustRightInd w:val="0"/>
              <w:rPr>
                <w:rFonts w:cs="AdvTT3713a231"/>
                <w:lang w:val="en-US"/>
              </w:rPr>
            </w:pPr>
            <w:r w:rsidRPr="00D16865">
              <w:rPr>
                <w:rFonts w:cs="AdvTT3713a231"/>
                <w:lang w:val="en-US"/>
              </w:rPr>
              <w:t xml:space="preserve">Static emission images of 20-min duration were acquired 40 min after injection of 5.3 MBq/kg of 18F-FDG </w:t>
            </w:r>
          </w:p>
          <w:p w:rsidR="000F5046" w:rsidRPr="00D16865" w:rsidRDefault="000F5046" w:rsidP="000D1ED3">
            <w:pPr>
              <w:autoSpaceDE w:val="0"/>
              <w:autoSpaceDN w:val="0"/>
              <w:adjustRightInd w:val="0"/>
              <w:rPr>
                <w:rFonts w:cs="AdvTT3713a231"/>
                <w:i/>
                <w:u w:val="single"/>
                <w:lang w:val="en-US"/>
              </w:rPr>
            </w:pPr>
            <w:r w:rsidRPr="00D16865">
              <w:rPr>
                <w:rFonts w:cs="AdvTT3713a231"/>
                <w:i/>
                <w:u w:val="single"/>
                <w:lang w:val="en-US"/>
              </w:rPr>
              <w:t>Data analysis</w:t>
            </w:r>
          </w:p>
          <w:p w:rsidR="000D1ED3" w:rsidRPr="00D16865" w:rsidRDefault="000D1ED3" w:rsidP="000D1ED3">
            <w:pPr>
              <w:autoSpaceDE w:val="0"/>
              <w:autoSpaceDN w:val="0"/>
              <w:adjustRightInd w:val="0"/>
              <w:rPr>
                <w:rFonts w:cs="AdvTT3713a231"/>
                <w:lang w:val="en-US"/>
              </w:rPr>
            </w:pPr>
            <w:r w:rsidRPr="00D16865">
              <w:rPr>
                <w:rFonts w:cs="AdvTT3713a231"/>
                <w:lang w:val="en-US"/>
              </w:rPr>
              <w:t>Images were processed using Statistical Parametric Mapping software (SPM8; Wellcome Department of Cognitive Neurology, Institute of Neurology, London, UK; http://www.fil.ion.ucl.ac.uk/spm).</w:t>
            </w:r>
          </w:p>
          <w:p w:rsidR="001D13E8" w:rsidRPr="00D16865" w:rsidRDefault="00162DA8" w:rsidP="000D1ED3">
            <w:pPr>
              <w:rPr>
                <w:lang w:val="en-US"/>
              </w:rPr>
            </w:pPr>
            <w:r w:rsidRPr="00D16865">
              <w:rPr>
                <w:u w:val="single"/>
                <w:lang w:val="en-US"/>
              </w:rPr>
              <w:t>Threshold:</w:t>
            </w:r>
            <w:r w:rsidR="000D1ED3" w:rsidRPr="00D16865">
              <w:rPr>
                <w:u w:val="single"/>
                <w:lang w:val="en-US"/>
              </w:rPr>
              <w:t xml:space="preserve"> </w:t>
            </w:r>
            <w:r w:rsidR="001D13E8" w:rsidRPr="00D16865">
              <w:rPr>
                <w:lang w:val="en-US"/>
              </w:rPr>
              <w:t>AD conversion score: the optimal cut-off=0.28; not pre-specified</w:t>
            </w:r>
          </w:p>
          <w:p w:rsidR="009A34C6" w:rsidRPr="00D16865" w:rsidRDefault="001D13E8" w:rsidP="000F5046">
            <w:pPr>
              <w:autoSpaceDE w:val="0"/>
              <w:autoSpaceDN w:val="0"/>
              <w:adjustRightInd w:val="0"/>
              <w:rPr>
                <w:rFonts w:cs="Times-Roman"/>
                <w:lang w:val="en-US"/>
              </w:rPr>
            </w:pPr>
            <w:r w:rsidRPr="00D16865">
              <w:rPr>
                <w:lang w:val="en-US"/>
              </w:rPr>
              <w:t xml:space="preserve">Note: </w:t>
            </w:r>
            <w:r w:rsidR="000D1ED3" w:rsidRPr="00D16865">
              <w:rPr>
                <w:lang w:val="en-US"/>
              </w:rPr>
              <w:t>A</w:t>
            </w:r>
            <w:r w:rsidRPr="00D16865">
              <w:rPr>
                <w:lang w:val="en-US"/>
              </w:rPr>
              <w:t xml:space="preserve">D-conversion score is </w:t>
            </w:r>
            <w:r w:rsidR="000D1ED3" w:rsidRPr="00D16865">
              <w:rPr>
                <w:lang w:val="en-US"/>
              </w:rPr>
              <w:t>a combination of hypo-metabolism in the posterior cingulate area together with the APOE4 genotype and MMSE score (age and gender)</w:t>
            </w:r>
          </w:p>
        </w:tc>
      </w:tr>
      <w:tr w:rsidR="00DA4731" w:rsidRPr="00D16865" w:rsidTr="0031616E">
        <w:tc>
          <w:tcPr>
            <w:tcW w:w="2771" w:type="dxa"/>
          </w:tcPr>
          <w:p w:rsidR="00DA4731" w:rsidRPr="00D16865" w:rsidRDefault="00DA4731">
            <w:pPr>
              <w:rPr>
                <w:b/>
                <w:lang w:val="en-US"/>
              </w:rPr>
            </w:pPr>
            <w:r w:rsidRPr="00D16865">
              <w:rPr>
                <w:b/>
                <w:lang w:val="en-US"/>
              </w:rPr>
              <w:t>Target condition</w:t>
            </w:r>
          </w:p>
        </w:tc>
        <w:tc>
          <w:tcPr>
            <w:tcW w:w="11177" w:type="dxa"/>
          </w:tcPr>
          <w:p w:rsidR="00D000FA" w:rsidRPr="00D16865" w:rsidRDefault="00D000FA" w:rsidP="00D000FA">
            <w:pPr>
              <w:contextualSpacing/>
              <w:rPr>
                <w:lang w:val="en-US"/>
              </w:rPr>
            </w:pPr>
            <w:r w:rsidRPr="00D16865">
              <w:rPr>
                <w:lang w:val="en-US"/>
              </w:rPr>
              <w:t>Target condition: conversion from MCI to Alzheimer’s disease dementia</w:t>
            </w:r>
          </w:p>
          <w:p w:rsidR="000D1ED3" w:rsidRPr="00D16865" w:rsidRDefault="00D000FA" w:rsidP="00D000FA">
            <w:pPr>
              <w:rPr>
                <w:rFonts w:eastAsia="Times New Roman" w:cs="Arial"/>
                <w:lang w:val="en-US" w:eastAsia="en-GB"/>
              </w:rPr>
            </w:pPr>
            <w:r w:rsidRPr="00D16865">
              <w:rPr>
                <w:lang w:val="en-US"/>
              </w:rPr>
              <w:t xml:space="preserve">Reference standard: </w:t>
            </w:r>
            <w:r w:rsidRPr="00D16865">
              <w:rPr>
                <w:rFonts w:eastAsia="Times New Roman" w:cs="Arial"/>
                <w:lang w:val="en-US" w:eastAsia="en-GB"/>
              </w:rPr>
              <w:t xml:space="preserve">NINCDS-ADRDA </w:t>
            </w:r>
          </w:p>
        </w:tc>
      </w:tr>
      <w:tr w:rsidR="00DA4731" w:rsidRPr="00D16865" w:rsidTr="0031616E">
        <w:tc>
          <w:tcPr>
            <w:tcW w:w="2771" w:type="dxa"/>
          </w:tcPr>
          <w:p w:rsidR="00DA4731" w:rsidRPr="00D16865" w:rsidRDefault="00DA4731">
            <w:pPr>
              <w:rPr>
                <w:b/>
                <w:lang w:val="en-US"/>
              </w:rPr>
            </w:pPr>
            <w:r w:rsidRPr="00D16865">
              <w:rPr>
                <w:b/>
                <w:lang w:val="en-US"/>
              </w:rPr>
              <w:lastRenderedPageBreak/>
              <w:t>Flow and timing</w:t>
            </w:r>
          </w:p>
        </w:tc>
        <w:tc>
          <w:tcPr>
            <w:tcW w:w="11177" w:type="dxa"/>
          </w:tcPr>
          <w:p w:rsidR="00D000FA" w:rsidRPr="00D16865" w:rsidRDefault="00D000FA" w:rsidP="00D000FA">
            <w:pPr>
              <w:spacing w:after="120"/>
              <w:contextualSpacing/>
              <w:rPr>
                <w:rFonts w:eastAsia="Times New Roman" w:cs="Arial"/>
                <w:lang w:val="en-US" w:eastAsia="en-GB"/>
              </w:rPr>
            </w:pPr>
            <w:r w:rsidRPr="00D16865">
              <w:rPr>
                <w:rFonts w:eastAsia="Times New Roman" w:cs="Arial"/>
                <w:lang w:val="en-US" w:eastAsia="en-GB"/>
              </w:rPr>
              <w:t xml:space="preserve">Duration of follow-up: </w:t>
            </w:r>
            <w:r w:rsidR="000F5046" w:rsidRPr="00D16865">
              <w:rPr>
                <w:rFonts w:eastAsia="Times New Roman" w:cs="Arial"/>
                <w:lang w:val="en-US" w:eastAsia="en-GB"/>
              </w:rPr>
              <w:t>24 months</w:t>
            </w:r>
          </w:p>
          <w:p w:rsidR="00D000FA" w:rsidRPr="00D16865" w:rsidRDefault="00D000FA" w:rsidP="00D000FA">
            <w:pPr>
              <w:autoSpaceDE w:val="0"/>
              <w:autoSpaceDN w:val="0"/>
              <w:adjustRightInd w:val="0"/>
              <w:rPr>
                <w:rFonts w:eastAsia="Times New Roman" w:cs="Arial"/>
                <w:u w:val="single"/>
                <w:lang w:val="en-US" w:eastAsia="en-GB"/>
              </w:rPr>
            </w:pPr>
            <w:r w:rsidRPr="00D16865">
              <w:rPr>
                <w:rFonts w:eastAsia="Times New Roman" w:cs="Arial"/>
                <w:u w:val="single"/>
                <w:lang w:val="en-US" w:eastAsia="en-GB"/>
              </w:rPr>
              <w:t>Number included in analysis (N=</w:t>
            </w:r>
            <w:r w:rsidR="000C4CEC" w:rsidRPr="00D16865">
              <w:rPr>
                <w:rFonts w:eastAsia="Times New Roman" w:cs="Arial"/>
                <w:u w:val="single"/>
                <w:lang w:val="en-US" w:eastAsia="en-GB"/>
              </w:rPr>
              <w:t>121</w:t>
            </w:r>
            <w:r w:rsidRPr="00D16865">
              <w:rPr>
                <w:rFonts w:eastAsia="Times New Roman" w:cs="Arial"/>
                <w:u w:val="single"/>
                <w:lang w:val="en-US" w:eastAsia="en-GB"/>
              </w:rPr>
              <w:t>)</w:t>
            </w:r>
          </w:p>
          <w:p w:rsidR="00D000FA" w:rsidRPr="00D16865" w:rsidRDefault="00D000FA" w:rsidP="00D000FA">
            <w:pPr>
              <w:autoSpaceDE w:val="0"/>
              <w:autoSpaceDN w:val="0"/>
              <w:adjustRightInd w:val="0"/>
              <w:rPr>
                <w:rFonts w:cs="AdvTT3713a231"/>
                <w:color w:val="131413"/>
                <w:lang w:val="en-US"/>
              </w:rPr>
            </w:pPr>
            <w:r w:rsidRPr="00D16865">
              <w:rPr>
                <w:rFonts w:eastAsia="Times New Roman" w:cs="Arial"/>
                <w:lang w:val="en-US" w:eastAsia="en-GB"/>
              </w:rPr>
              <w:t xml:space="preserve">At follow-up: </w:t>
            </w:r>
            <w:r w:rsidR="000C4CEC" w:rsidRPr="00D16865">
              <w:rPr>
                <w:rFonts w:eastAsia="Times New Roman" w:cs="Arial"/>
                <w:lang w:val="en-US" w:eastAsia="en-GB"/>
              </w:rPr>
              <w:t xml:space="preserve">36 </w:t>
            </w:r>
            <w:r w:rsidRPr="00D16865">
              <w:rPr>
                <w:rFonts w:eastAsia="Times New Roman" w:cs="Arial"/>
                <w:lang w:val="en-US" w:eastAsia="en-GB"/>
              </w:rPr>
              <w:t xml:space="preserve">MCI-AD (disease positive); </w:t>
            </w:r>
            <w:r w:rsidR="000C4CEC" w:rsidRPr="00D16865">
              <w:rPr>
                <w:rFonts w:eastAsia="Times New Roman" w:cs="Arial"/>
                <w:lang w:val="en-US" w:eastAsia="en-GB"/>
              </w:rPr>
              <w:t xml:space="preserve">85 </w:t>
            </w:r>
            <w:r w:rsidRPr="00D16865">
              <w:rPr>
                <w:rFonts w:eastAsia="Times New Roman" w:cs="Arial"/>
                <w:lang w:val="en-US" w:eastAsia="en-GB"/>
              </w:rPr>
              <w:t>MCI-MCI (disease negative</w:t>
            </w:r>
            <w:r w:rsidR="000C4CEC" w:rsidRPr="00D16865">
              <w:rPr>
                <w:rFonts w:eastAsia="Times New Roman" w:cs="Arial"/>
                <w:lang w:val="en-US" w:eastAsia="en-GB"/>
              </w:rPr>
              <w:t>)</w:t>
            </w:r>
            <w:r w:rsidR="0055453E" w:rsidRPr="00D16865">
              <w:rPr>
                <w:rFonts w:eastAsia="Times New Roman" w:cs="Arial"/>
                <w:lang w:val="en-US" w:eastAsia="en-GB"/>
              </w:rPr>
              <w:t xml:space="preserve"> (Table 1, p1397)</w:t>
            </w:r>
          </w:p>
          <w:p w:rsidR="00D000FA" w:rsidRPr="00D16865" w:rsidRDefault="00D000FA" w:rsidP="00D000FA">
            <w:pPr>
              <w:autoSpaceDE w:val="0"/>
              <w:autoSpaceDN w:val="0"/>
              <w:adjustRightInd w:val="0"/>
              <w:rPr>
                <w:rFonts w:cs="AdvTT3713a231"/>
                <w:color w:val="131413"/>
                <w:lang w:val="en-US"/>
              </w:rPr>
            </w:pPr>
            <w:r w:rsidRPr="00D16865">
              <w:rPr>
                <w:rFonts w:cs="AdvTT3713a231"/>
                <w:color w:val="131413"/>
                <w:lang w:val="en-US"/>
              </w:rPr>
              <w:t>Conversion from MCI to ADD</w:t>
            </w:r>
          </w:p>
          <w:p w:rsidR="00D000FA" w:rsidRPr="00D16865" w:rsidRDefault="00D000FA" w:rsidP="00D000FA">
            <w:pPr>
              <w:autoSpaceDE w:val="0"/>
              <w:autoSpaceDN w:val="0"/>
              <w:adjustRightInd w:val="0"/>
              <w:rPr>
                <w:rFonts w:cs="AdvTT3713a231"/>
                <w:color w:val="131413"/>
                <w:lang w:val="en-US"/>
              </w:rPr>
            </w:pPr>
            <w:r w:rsidRPr="00D16865">
              <w:rPr>
                <w:rFonts w:cs="AdvTT3713a231"/>
                <w:color w:val="131413"/>
                <w:lang w:val="en-US"/>
              </w:rPr>
              <w:t>Sensitivity=</w:t>
            </w:r>
            <w:r w:rsidR="008778F3" w:rsidRPr="00D16865">
              <w:rPr>
                <w:rFonts w:cs="AdvTT3713a231"/>
                <w:color w:val="131413"/>
                <w:lang w:val="en-US"/>
              </w:rPr>
              <w:t>92</w:t>
            </w:r>
            <w:r w:rsidR="007A4320" w:rsidRPr="00D16865">
              <w:rPr>
                <w:rFonts w:cs="AdvTT3713a231"/>
                <w:color w:val="131413"/>
                <w:lang w:val="en-US"/>
              </w:rPr>
              <w:t>%</w:t>
            </w:r>
            <w:r w:rsidRPr="00D16865">
              <w:rPr>
                <w:rFonts w:cs="AdvTT3713a231"/>
                <w:color w:val="131413"/>
                <w:lang w:val="en-US"/>
              </w:rPr>
              <w:t>%; specificity=</w:t>
            </w:r>
            <w:r w:rsidR="008778F3" w:rsidRPr="00D16865">
              <w:rPr>
                <w:rFonts w:cs="AdvTT3713a231"/>
                <w:color w:val="131413"/>
                <w:lang w:val="en-US"/>
              </w:rPr>
              <w:t>62</w:t>
            </w:r>
            <w:r w:rsidRPr="00D16865">
              <w:rPr>
                <w:rFonts w:cs="AdvTT3713a231"/>
                <w:color w:val="131413"/>
                <w:lang w:val="en-US"/>
              </w:rPr>
              <w:t>%</w:t>
            </w:r>
            <w:r w:rsidR="00FE552E" w:rsidRPr="00D16865">
              <w:rPr>
                <w:rFonts w:cs="AdvTT3713a231"/>
                <w:color w:val="131413"/>
                <w:lang w:val="en-US"/>
              </w:rPr>
              <w:t xml:space="preserve"> </w:t>
            </w:r>
            <w:r w:rsidR="00EA0130" w:rsidRPr="00D16865">
              <w:rPr>
                <w:rFonts w:cs="AdvTT3713a231"/>
                <w:color w:val="131413"/>
                <w:lang w:val="en-US"/>
              </w:rPr>
              <w:t>(p139</w:t>
            </w:r>
            <w:r w:rsidR="0055453E" w:rsidRPr="00D16865">
              <w:rPr>
                <w:rFonts w:cs="AdvTT3713a231"/>
                <w:color w:val="131413"/>
                <w:lang w:val="en-US"/>
              </w:rPr>
              <w:t>9-p1400)</w:t>
            </w:r>
            <w:r w:rsidR="008B5CE4" w:rsidRPr="00D16865">
              <w:rPr>
                <w:rFonts w:cs="AdvTT3713a231"/>
                <w:color w:val="131413"/>
                <w:lang w:val="en-US"/>
              </w:rPr>
              <w:t xml:space="preserve"> for AD score (</w:t>
            </w:r>
            <w:r w:rsidR="008B5CE4" w:rsidRPr="00D16865">
              <w:rPr>
                <w:rFonts w:cs="AdvTT3713a231"/>
                <w:color w:val="131413"/>
                <w:vertAlign w:val="superscript"/>
                <w:lang w:val="en-US"/>
              </w:rPr>
              <w:t>18</w:t>
            </w:r>
            <w:r w:rsidR="008B5CE4" w:rsidRPr="00D16865">
              <w:rPr>
                <w:rFonts w:cs="AdvTT3713a231"/>
                <w:color w:val="131413"/>
                <w:lang w:val="en-US"/>
              </w:rPr>
              <w:t>F-FDG PET data &amp; Age &amp; Gender)</w:t>
            </w:r>
          </w:p>
          <w:p w:rsidR="00DA4731" w:rsidRPr="00D16865" w:rsidRDefault="00D000FA" w:rsidP="008778F3">
            <w:pPr>
              <w:autoSpaceDE w:val="0"/>
              <w:autoSpaceDN w:val="0"/>
              <w:adjustRightInd w:val="0"/>
              <w:rPr>
                <w:rFonts w:cs="Arial"/>
                <w:lang w:val="en-US"/>
              </w:rPr>
            </w:pPr>
            <w:r w:rsidRPr="00D16865">
              <w:rPr>
                <w:rFonts w:cs="Arial"/>
                <w:lang w:val="en-US"/>
              </w:rPr>
              <w:t>TP=</w:t>
            </w:r>
            <w:r w:rsidR="00604787" w:rsidRPr="00D16865">
              <w:rPr>
                <w:rFonts w:cs="Arial"/>
                <w:lang w:val="en-US"/>
              </w:rPr>
              <w:t>33</w:t>
            </w:r>
            <w:r w:rsidRPr="00D16865">
              <w:rPr>
                <w:rFonts w:cs="Arial"/>
                <w:lang w:val="en-US"/>
              </w:rPr>
              <w:t>; FP=</w:t>
            </w:r>
            <w:r w:rsidR="00604787" w:rsidRPr="00D16865">
              <w:rPr>
                <w:rFonts w:cs="Arial"/>
                <w:lang w:val="en-US"/>
              </w:rPr>
              <w:t>32</w:t>
            </w:r>
            <w:r w:rsidRPr="00D16865">
              <w:rPr>
                <w:rFonts w:cs="Arial"/>
                <w:lang w:val="en-US"/>
              </w:rPr>
              <w:t>; FN=</w:t>
            </w:r>
            <w:r w:rsidR="00604787" w:rsidRPr="00D16865">
              <w:rPr>
                <w:rFonts w:cs="Arial"/>
                <w:lang w:val="en-US"/>
              </w:rPr>
              <w:t>3</w:t>
            </w:r>
            <w:r w:rsidRPr="00D16865">
              <w:rPr>
                <w:rFonts w:cs="Arial"/>
                <w:lang w:val="en-US"/>
              </w:rPr>
              <w:t>; TN=</w:t>
            </w:r>
            <w:r w:rsidR="00604787" w:rsidRPr="00D16865">
              <w:rPr>
                <w:rFonts w:cs="Arial"/>
                <w:lang w:val="en-US"/>
              </w:rPr>
              <w:t>53; PPV=51%; NPV=95%</w:t>
            </w:r>
            <w:r w:rsidR="006C75E5" w:rsidRPr="00D16865">
              <w:rPr>
                <w:rFonts w:cs="Arial"/>
                <w:lang w:val="en-US"/>
              </w:rPr>
              <w:t xml:space="preserve"> (Calculated in Revman5)</w:t>
            </w:r>
            <w:r w:rsidR="00B66618" w:rsidRPr="00D16865">
              <w:rPr>
                <w:rFonts w:cs="AdvTT3713a231"/>
                <w:color w:val="1F497D" w:themeColor="text2"/>
                <w:lang w:val="en-US"/>
              </w:rPr>
              <w:t>.</w:t>
            </w:r>
          </w:p>
        </w:tc>
      </w:tr>
      <w:tr w:rsidR="00DA4731" w:rsidRPr="00D16865" w:rsidTr="0031616E">
        <w:tc>
          <w:tcPr>
            <w:tcW w:w="13948" w:type="dxa"/>
            <w:gridSpan w:val="2"/>
          </w:tcPr>
          <w:p w:rsidR="00284F24" w:rsidRPr="00D16865" w:rsidRDefault="00DA4731" w:rsidP="0055453E">
            <w:pPr>
              <w:autoSpaceDE w:val="0"/>
              <w:autoSpaceDN w:val="0"/>
              <w:adjustRightInd w:val="0"/>
              <w:rPr>
                <w:b/>
                <w:lang w:val="en-US"/>
              </w:rPr>
            </w:pPr>
            <w:r w:rsidRPr="00D16865">
              <w:rPr>
                <w:b/>
                <w:lang w:val="en-US"/>
              </w:rPr>
              <w:t>Note</w:t>
            </w:r>
            <w:r w:rsidR="00284F24" w:rsidRPr="00D16865">
              <w:rPr>
                <w:b/>
                <w:lang w:val="en-US"/>
              </w:rPr>
              <w:t>s</w:t>
            </w:r>
          </w:p>
          <w:p w:rsidR="008778F3" w:rsidRPr="00D16865" w:rsidRDefault="0055453E" w:rsidP="008778F3">
            <w:pPr>
              <w:autoSpaceDE w:val="0"/>
              <w:autoSpaceDN w:val="0"/>
              <w:adjustRightInd w:val="0"/>
              <w:rPr>
                <w:rFonts w:cs="Times-Roman"/>
                <w:lang w:val="en-US"/>
              </w:rPr>
            </w:pPr>
            <w:r w:rsidRPr="00D16865">
              <w:rPr>
                <w:lang w:val="en-US"/>
              </w:rPr>
              <w:t xml:space="preserve">The authors contacted in order to obtain the data for creating 2X2 table for </w:t>
            </w:r>
            <w:r w:rsidRPr="00D16865">
              <w:rPr>
                <w:vertAlign w:val="superscript"/>
                <w:lang w:val="en-US"/>
              </w:rPr>
              <w:t>18</w:t>
            </w:r>
            <w:r w:rsidRPr="00D16865">
              <w:rPr>
                <w:lang w:val="en-US"/>
              </w:rPr>
              <w:t>F-FDG PET</w:t>
            </w:r>
            <w:r w:rsidRPr="00D16865">
              <w:rPr>
                <w:rFonts w:cs="Times-Roman"/>
                <w:lang w:val="en-US"/>
              </w:rPr>
              <w:t xml:space="preserve"> scan </w:t>
            </w:r>
            <w:r w:rsidRPr="00D16865">
              <w:rPr>
                <w:rFonts w:cs="Times-Roman"/>
                <w:i/>
                <w:lang w:val="en-US"/>
              </w:rPr>
              <w:t>alone</w:t>
            </w:r>
            <w:r w:rsidRPr="00D16865">
              <w:rPr>
                <w:rFonts w:cs="Times-Roman"/>
                <w:lang w:val="en-US"/>
              </w:rPr>
              <w:t>. They only reported the values for the AUC.</w:t>
            </w:r>
          </w:p>
          <w:p w:rsidR="0055453E" w:rsidRPr="00D16865" w:rsidRDefault="0055453E" w:rsidP="008778F3">
            <w:pPr>
              <w:autoSpaceDE w:val="0"/>
              <w:autoSpaceDN w:val="0"/>
              <w:adjustRightInd w:val="0"/>
              <w:rPr>
                <w:lang w:val="en-US"/>
              </w:rPr>
            </w:pPr>
            <w:r w:rsidRPr="00D16865">
              <w:rPr>
                <w:rFonts w:cs="Times-Roman"/>
                <w:lang w:val="en-US"/>
              </w:rPr>
              <w:t xml:space="preserve">Dr </w:t>
            </w:r>
            <w:proofErr w:type="spellStart"/>
            <w:r w:rsidRPr="00D16865">
              <w:rPr>
                <w:rFonts w:cs="Times-Roman"/>
                <w:lang w:val="en-US"/>
              </w:rPr>
              <w:t>Arbizu</w:t>
            </w:r>
            <w:proofErr w:type="spellEnd"/>
            <w:r w:rsidRPr="00D16865">
              <w:rPr>
                <w:rFonts w:cs="Times-Roman"/>
                <w:lang w:val="en-US"/>
              </w:rPr>
              <w:t xml:space="preserve"> Email (12/3/16): </w:t>
            </w:r>
            <w:r w:rsidRPr="00D16865">
              <w:rPr>
                <w:rFonts w:cs="Times-Roman"/>
                <w:i/>
                <w:lang w:val="en-US"/>
              </w:rPr>
              <w:t>“</w:t>
            </w:r>
            <w:r w:rsidRPr="00D16865">
              <w:rPr>
                <w:i/>
                <w:lang w:val="en-US"/>
              </w:rPr>
              <w:t>The AUC for hypometaboli</w:t>
            </w:r>
            <w:r w:rsidR="005F7A97" w:rsidRPr="00D16865">
              <w:rPr>
                <w:i/>
                <w:lang w:val="en-US"/>
              </w:rPr>
              <w:t>sm in all cortical regions was </w:t>
            </w:r>
            <w:r w:rsidRPr="00D16865">
              <w:rPr>
                <w:bCs/>
                <w:i/>
                <w:lang w:val="en-US"/>
              </w:rPr>
              <w:t>0.739</w:t>
            </w:r>
            <w:r w:rsidRPr="00D16865">
              <w:rPr>
                <w:i/>
                <w:lang w:val="en-US"/>
              </w:rPr>
              <w:t> (95 % CI 0.641 – 0.838). However, according to the univariable and multivariable models performed to select the best discriminant cortical regions within the AD pattern, only hypometabolism in the posterior cingulate area was significant in the multivariable model (Table 2). Moreover, among the clinical variables evaluated, ApoE4 genotype and MMSE score had a significant effect in both the univariable and multivariable models, while education level did not show a significant independent effect (Table 2)</w:t>
            </w:r>
            <w:r w:rsidR="004C661D">
              <w:rPr>
                <w:i/>
                <w:lang w:val="en-US"/>
              </w:rPr>
              <w:t xml:space="preserve">. </w:t>
            </w:r>
            <w:r w:rsidRPr="00D16865">
              <w:rPr>
                <w:i/>
                <w:lang w:val="en-US"/>
              </w:rPr>
              <w:t>When the MMSE score and ApoE4 genotype (age and gender) were considered in the model, the AUC was </w:t>
            </w:r>
            <w:r w:rsidRPr="00D16865">
              <w:rPr>
                <w:bCs/>
                <w:i/>
                <w:lang w:val="en-US"/>
              </w:rPr>
              <w:t>0.742</w:t>
            </w:r>
            <w:r w:rsidRPr="00D16865">
              <w:rPr>
                <w:b/>
                <w:bCs/>
                <w:i/>
                <w:lang w:val="en-US"/>
              </w:rPr>
              <w:t xml:space="preserve"> </w:t>
            </w:r>
            <w:r w:rsidRPr="00D16865">
              <w:rPr>
                <w:i/>
                <w:lang w:val="en-US"/>
              </w:rPr>
              <w:t>(95 % CI 0.646 – 0.838). However, when posterior cingulate hypometabolism was also included in the model, the AUC improved significantly to </w:t>
            </w:r>
            <w:r w:rsidRPr="00D16865">
              <w:rPr>
                <w:bCs/>
                <w:i/>
                <w:lang w:val="en-US"/>
              </w:rPr>
              <w:t>0.804</w:t>
            </w:r>
            <w:r w:rsidRPr="00D16865">
              <w:rPr>
                <w:i/>
                <w:lang w:val="en-US"/>
              </w:rPr>
              <w:t> (95 % CI 0.714 – 0.894, bootstrap p=0.027)”.</w:t>
            </w:r>
          </w:p>
          <w:p w:rsidR="005F7A97" w:rsidRPr="00D16865" w:rsidRDefault="005D0045" w:rsidP="008778F3">
            <w:pPr>
              <w:autoSpaceDE w:val="0"/>
              <w:autoSpaceDN w:val="0"/>
              <w:adjustRightInd w:val="0"/>
              <w:rPr>
                <w:b/>
                <w:lang w:val="en-US"/>
              </w:rPr>
            </w:pPr>
            <w:r w:rsidRPr="00D16865">
              <w:rPr>
                <w:b/>
                <w:lang w:val="en-US"/>
              </w:rPr>
              <w:t>Objective</w:t>
            </w:r>
            <w:r w:rsidR="005F7A97" w:rsidRPr="00D16865">
              <w:rPr>
                <w:b/>
                <w:lang w:val="en-US"/>
              </w:rPr>
              <w:t xml:space="preserve">: </w:t>
            </w:r>
            <w:r w:rsidR="005F7A97" w:rsidRPr="00D16865">
              <w:rPr>
                <w:lang w:val="en-US"/>
              </w:rPr>
              <w:t>to evaluate the accuracy of multimodal probabilistic prediction of conversion to AD dementia in patients with MCI</w:t>
            </w:r>
          </w:p>
          <w:p w:rsidR="002E602C" w:rsidRPr="00D16865" w:rsidRDefault="002E602C" w:rsidP="008778F3">
            <w:pPr>
              <w:autoSpaceDE w:val="0"/>
              <w:autoSpaceDN w:val="0"/>
              <w:adjustRightInd w:val="0"/>
              <w:rPr>
                <w:lang w:val="en-US"/>
              </w:rPr>
            </w:pPr>
            <w:r w:rsidRPr="00D16865">
              <w:rPr>
                <w:b/>
                <w:lang w:val="en-US"/>
              </w:rPr>
              <w:t>Conclusion</w:t>
            </w:r>
          </w:p>
          <w:p w:rsidR="002E602C" w:rsidRPr="00D16865" w:rsidRDefault="002E602C" w:rsidP="008778F3">
            <w:pPr>
              <w:autoSpaceDE w:val="0"/>
              <w:autoSpaceDN w:val="0"/>
              <w:adjustRightInd w:val="0"/>
              <w:rPr>
                <w:rFonts w:cs="Times-Roman"/>
                <w:lang w:val="en-US"/>
              </w:rPr>
            </w:pPr>
            <w:r w:rsidRPr="00D16865">
              <w:rPr>
                <w:lang w:val="en-US"/>
              </w:rPr>
              <w:t>“Posterior cingulate metabolism, when compared in a multivariable model with age and gender as well as MMSE score and ApoE4 data, improved the determination of the likelihood of patients with MCI converting to AD dementia compared with clinical variables alone”.</w:t>
            </w:r>
          </w:p>
        </w:tc>
      </w:tr>
      <w:tr w:rsidR="008921D3" w:rsidRPr="00D16865" w:rsidTr="0031616E">
        <w:tc>
          <w:tcPr>
            <w:tcW w:w="13948" w:type="dxa"/>
            <w:gridSpan w:val="2"/>
          </w:tcPr>
          <w:p w:rsidR="008921D3" w:rsidRPr="00D16865" w:rsidRDefault="008921D3">
            <w:pPr>
              <w:rPr>
                <w:b/>
                <w:lang w:val="en-US"/>
              </w:rPr>
            </w:pPr>
          </w:p>
        </w:tc>
      </w:tr>
      <w:tr w:rsidR="008921D3" w:rsidRPr="00D16865" w:rsidTr="0031616E">
        <w:tc>
          <w:tcPr>
            <w:tcW w:w="13948" w:type="dxa"/>
            <w:gridSpan w:val="2"/>
          </w:tcPr>
          <w:p w:rsidR="008921D3" w:rsidRPr="00D16865" w:rsidRDefault="008921D3">
            <w:pPr>
              <w:rPr>
                <w:b/>
                <w:lang w:val="en-US"/>
              </w:rPr>
            </w:pPr>
            <w:proofErr w:type="spellStart"/>
            <w:r w:rsidRPr="00D16865">
              <w:rPr>
                <w:b/>
                <w:lang w:val="en-US"/>
              </w:rPr>
              <w:t>Dukart</w:t>
            </w:r>
            <w:proofErr w:type="spellEnd"/>
            <w:r w:rsidRPr="00D16865">
              <w:rPr>
                <w:b/>
                <w:lang w:val="en-US"/>
              </w:rPr>
              <w:t xml:space="preserve"> 2016</w:t>
            </w:r>
          </w:p>
        </w:tc>
      </w:tr>
      <w:tr w:rsidR="008921D3" w:rsidRPr="00D16865" w:rsidTr="0031616E">
        <w:tc>
          <w:tcPr>
            <w:tcW w:w="2771" w:type="dxa"/>
          </w:tcPr>
          <w:p w:rsidR="008921D3" w:rsidRPr="00D16865" w:rsidRDefault="008921D3" w:rsidP="006B0115">
            <w:pPr>
              <w:rPr>
                <w:b/>
                <w:lang w:val="en-US"/>
              </w:rPr>
            </w:pPr>
            <w:r w:rsidRPr="00D16865">
              <w:rPr>
                <w:b/>
                <w:lang w:val="en-US"/>
              </w:rPr>
              <w:t>Patient sampling</w:t>
            </w:r>
          </w:p>
        </w:tc>
        <w:tc>
          <w:tcPr>
            <w:tcW w:w="11177" w:type="dxa"/>
          </w:tcPr>
          <w:p w:rsidR="008921D3" w:rsidRPr="00D16865" w:rsidRDefault="008921D3" w:rsidP="006B0115">
            <w:pPr>
              <w:contextualSpacing/>
              <w:rPr>
                <w:lang w:val="en-US"/>
              </w:rPr>
            </w:pPr>
            <w:r w:rsidRPr="00D16865">
              <w:rPr>
                <w:lang w:val="en-US"/>
              </w:rPr>
              <w:t xml:space="preserve">Study design: nested-case control study; </w:t>
            </w:r>
            <w:r w:rsidR="00557B9D" w:rsidRPr="00D16865">
              <w:rPr>
                <w:lang w:val="en-US"/>
              </w:rPr>
              <w:t>retrospective analysis of longitudinal data from ADNI database</w:t>
            </w:r>
          </w:p>
          <w:p w:rsidR="008921D3" w:rsidRPr="00D16865" w:rsidRDefault="008921D3" w:rsidP="006B0115">
            <w:pPr>
              <w:contextualSpacing/>
              <w:rPr>
                <w:lang w:val="en-US"/>
              </w:rPr>
            </w:pPr>
            <w:r w:rsidRPr="00D16865">
              <w:rPr>
                <w:lang w:val="en-US"/>
              </w:rPr>
              <w:t>ADNI participants recruited; Training data: 144 AD and 122 healthy controls; Testing data: 177 MCI-converters and 265 MCI-stable. Sampling process not described.</w:t>
            </w:r>
          </w:p>
          <w:p w:rsidR="008778F3" w:rsidRPr="00D16865" w:rsidRDefault="008921D3" w:rsidP="006B0115">
            <w:pPr>
              <w:spacing w:after="120"/>
              <w:contextualSpacing/>
              <w:rPr>
                <w:rFonts w:eastAsia="Times New Roman" w:cs="Arial"/>
                <w:lang w:val="en-US" w:eastAsia="en-GB"/>
              </w:rPr>
            </w:pPr>
            <w:r w:rsidRPr="00D16865">
              <w:rPr>
                <w:rFonts w:eastAsia="Times New Roman" w:cs="Arial"/>
                <w:lang w:val="en-US" w:eastAsia="en-GB"/>
              </w:rPr>
              <w:t>We only included data on performance of the index test to discriminate between patients with MCI who convert to dementia and those who remained stable.</w:t>
            </w:r>
          </w:p>
          <w:p w:rsidR="008921D3" w:rsidRPr="00D16865" w:rsidRDefault="008921D3" w:rsidP="006B0115">
            <w:pPr>
              <w:spacing w:after="120"/>
              <w:contextualSpacing/>
              <w:rPr>
                <w:rFonts w:eastAsia="Times New Roman" w:cs="Arial"/>
                <w:lang w:val="en-US" w:eastAsia="en-GB"/>
              </w:rPr>
            </w:pPr>
            <w:r w:rsidRPr="00D16865">
              <w:rPr>
                <w:rFonts w:cs="Arial"/>
                <w:u w:val="single"/>
                <w:lang w:val="en-US"/>
              </w:rPr>
              <w:t>Exclusion criteria:</w:t>
            </w:r>
            <w:r w:rsidRPr="00D16865">
              <w:rPr>
                <w:rFonts w:cs="Arial"/>
                <w:lang w:val="en-US"/>
              </w:rPr>
              <w:t xml:space="preserve"> not reported</w:t>
            </w:r>
          </w:p>
        </w:tc>
      </w:tr>
      <w:tr w:rsidR="008921D3" w:rsidRPr="00D16865" w:rsidTr="0031616E">
        <w:tc>
          <w:tcPr>
            <w:tcW w:w="2771" w:type="dxa"/>
          </w:tcPr>
          <w:p w:rsidR="008921D3" w:rsidRPr="00D16865" w:rsidRDefault="008921D3" w:rsidP="006B0115">
            <w:pPr>
              <w:rPr>
                <w:b/>
                <w:lang w:val="en-US"/>
              </w:rPr>
            </w:pPr>
            <w:r w:rsidRPr="00D16865">
              <w:rPr>
                <w:b/>
                <w:lang w:val="en-US"/>
              </w:rPr>
              <w:t>Patient characteristics and settings</w:t>
            </w:r>
          </w:p>
        </w:tc>
        <w:tc>
          <w:tcPr>
            <w:tcW w:w="11177" w:type="dxa"/>
          </w:tcPr>
          <w:p w:rsidR="008921D3" w:rsidRPr="00D16865" w:rsidRDefault="009712F3" w:rsidP="006B0115">
            <w:pPr>
              <w:spacing w:after="120"/>
              <w:contextualSpacing/>
              <w:rPr>
                <w:rFonts w:eastAsia="Times New Roman" w:cs="Arial"/>
                <w:lang w:val="en-US" w:eastAsia="en-GB"/>
              </w:rPr>
            </w:pPr>
            <w:r w:rsidRPr="00D16865">
              <w:rPr>
                <w:rFonts w:eastAsia="Times New Roman" w:cs="Arial"/>
                <w:lang w:val="en-US" w:eastAsia="en-GB"/>
              </w:rPr>
              <w:t xml:space="preserve">164 MCI participants: </w:t>
            </w:r>
            <w:r w:rsidR="008921D3" w:rsidRPr="00D16865">
              <w:rPr>
                <w:rFonts w:eastAsia="Times New Roman" w:cs="Arial"/>
                <w:lang w:val="en-US" w:eastAsia="en-GB"/>
              </w:rPr>
              <w:t>29 MCI-converters and 135 MCI-stable (Table 1, p1145)</w:t>
            </w:r>
            <w:r w:rsidRPr="00D16865">
              <w:rPr>
                <w:rFonts w:eastAsia="Times New Roman" w:cs="Arial"/>
                <w:lang w:val="en-US" w:eastAsia="en-GB"/>
              </w:rPr>
              <w:t>. MCI diagnostic criteria not reported.</w:t>
            </w:r>
          </w:p>
          <w:p w:rsidR="008921D3" w:rsidRPr="00D16865" w:rsidRDefault="008921D3" w:rsidP="006B0115">
            <w:pPr>
              <w:spacing w:after="120"/>
              <w:contextualSpacing/>
              <w:rPr>
                <w:rFonts w:eastAsia="Times New Roman" w:cs="Arial"/>
                <w:lang w:val="en-US" w:eastAsia="en-GB"/>
              </w:rPr>
            </w:pPr>
            <w:r w:rsidRPr="00D16865">
              <w:rPr>
                <w:rFonts w:eastAsia="Times New Roman" w:cs="Arial"/>
                <w:u w:val="single"/>
                <w:lang w:val="en-US" w:eastAsia="en-GB"/>
              </w:rPr>
              <w:t xml:space="preserve">Gender: </w:t>
            </w:r>
            <w:r w:rsidRPr="00D16865">
              <w:rPr>
                <w:rFonts w:eastAsia="Times New Roman" w:cs="Arial"/>
                <w:lang w:val="en-US" w:eastAsia="en-GB"/>
              </w:rPr>
              <w:t xml:space="preserve"> MCI converters: 11 women, 18</w:t>
            </w:r>
            <w:r w:rsidR="004C661D">
              <w:rPr>
                <w:rFonts w:eastAsia="Times New Roman" w:cs="Arial"/>
                <w:lang w:val="en-US" w:eastAsia="en-GB"/>
              </w:rPr>
              <w:t xml:space="preserve"> </w:t>
            </w:r>
            <w:r w:rsidRPr="00D16865">
              <w:rPr>
                <w:rFonts w:eastAsia="Times New Roman" w:cs="Arial"/>
                <w:lang w:val="en-US" w:eastAsia="en-GB"/>
              </w:rPr>
              <w:t>men; MCI non-converters: 51 women</w:t>
            </w:r>
            <w:r w:rsidR="004C661D">
              <w:rPr>
                <w:rFonts w:eastAsia="Times New Roman" w:cs="Arial"/>
                <w:lang w:val="en-US" w:eastAsia="en-GB"/>
              </w:rPr>
              <w:t>,</w:t>
            </w:r>
            <w:r w:rsidRPr="00D16865">
              <w:rPr>
                <w:rFonts w:eastAsia="Times New Roman" w:cs="Arial"/>
                <w:lang w:val="en-US" w:eastAsia="en-GB"/>
              </w:rPr>
              <w:t xml:space="preserve"> 84 men</w:t>
            </w:r>
          </w:p>
          <w:p w:rsidR="008921D3" w:rsidRPr="00D16865" w:rsidRDefault="008921D3" w:rsidP="006B0115">
            <w:pPr>
              <w:spacing w:after="120"/>
              <w:contextualSpacing/>
              <w:rPr>
                <w:rFonts w:eastAsia="Times New Roman" w:cs="Arial"/>
                <w:lang w:val="en-US" w:eastAsia="en-GB"/>
              </w:rPr>
            </w:pPr>
            <w:r w:rsidRPr="00D16865">
              <w:rPr>
                <w:rFonts w:eastAsia="Times New Roman" w:cs="Arial"/>
                <w:u w:val="single"/>
                <w:lang w:val="en-US" w:eastAsia="en-GB"/>
              </w:rPr>
              <w:t>Age (y):</w:t>
            </w:r>
            <w:r w:rsidRPr="00D16865">
              <w:rPr>
                <w:rFonts w:eastAsia="Times New Roman" w:cs="Arial"/>
                <w:lang w:val="en-US" w:eastAsia="en-GB"/>
              </w:rPr>
              <w:t xml:space="preserve"> MCI converters 73±8.1 (range 55-85); MCI non-converters </w:t>
            </w:r>
            <w:r w:rsidR="00164962" w:rsidRPr="00D16865">
              <w:rPr>
                <w:rFonts w:eastAsia="Times New Roman" w:cs="Arial"/>
                <w:lang w:val="en-US" w:eastAsia="en-GB"/>
              </w:rPr>
              <w:t>73</w:t>
            </w:r>
            <w:r w:rsidRPr="00D16865">
              <w:rPr>
                <w:rFonts w:eastAsia="Times New Roman" w:cs="Arial"/>
                <w:lang w:val="en-US" w:eastAsia="en-GB"/>
              </w:rPr>
              <w:t>±7.5 (range 48-88)</w:t>
            </w:r>
          </w:p>
          <w:p w:rsidR="008921D3" w:rsidRPr="00D16865" w:rsidRDefault="008921D3" w:rsidP="006B0115">
            <w:pPr>
              <w:spacing w:after="120"/>
              <w:contextualSpacing/>
              <w:rPr>
                <w:rFonts w:eastAsia="Times New Roman" w:cs="Arial"/>
                <w:lang w:val="en-US" w:eastAsia="en-GB"/>
              </w:rPr>
            </w:pPr>
            <w:r w:rsidRPr="00D16865">
              <w:rPr>
                <w:rFonts w:eastAsia="Times New Roman" w:cs="Arial"/>
                <w:u w:val="single"/>
                <w:lang w:val="en-US" w:eastAsia="en-GB"/>
              </w:rPr>
              <w:t>APOE ε4 carrier:</w:t>
            </w:r>
            <w:r w:rsidRPr="00D16865">
              <w:rPr>
                <w:rFonts w:eastAsia="Times New Roman" w:cs="Arial"/>
                <w:lang w:val="en-US" w:eastAsia="en-GB"/>
              </w:rPr>
              <w:t xml:space="preserve"> not reported </w:t>
            </w:r>
          </w:p>
          <w:p w:rsidR="008921D3" w:rsidRPr="00D16865" w:rsidRDefault="008921D3" w:rsidP="006B0115">
            <w:pPr>
              <w:spacing w:after="120"/>
              <w:contextualSpacing/>
              <w:rPr>
                <w:rFonts w:eastAsia="Times New Roman" w:cs="Arial"/>
                <w:lang w:val="en-US" w:eastAsia="en-GB"/>
              </w:rPr>
            </w:pPr>
            <w:r w:rsidRPr="00D16865">
              <w:rPr>
                <w:rFonts w:eastAsia="Times New Roman" w:cs="Arial"/>
                <w:u w:val="single"/>
                <w:lang w:val="en-US" w:eastAsia="en-GB"/>
              </w:rPr>
              <w:t>MMSE:</w:t>
            </w:r>
            <w:r w:rsidRPr="00D16865">
              <w:rPr>
                <w:rFonts w:eastAsia="Times New Roman" w:cs="Arial"/>
                <w:lang w:val="en-US" w:eastAsia="en-GB"/>
              </w:rPr>
              <w:t xml:space="preserve"> MCI converters 27±1.7; MCI non-converters 28.1±1.6</w:t>
            </w:r>
          </w:p>
          <w:p w:rsidR="008921D3" w:rsidRPr="00D16865" w:rsidRDefault="008921D3" w:rsidP="006B0115">
            <w:pPr>
              <w:spacing w:after="120"/>
              <w:contextualSpacing/>
              <w:rPr>
                <w:rFonts w:eastAsia="Times New Roman" w:cs="Arial"/>
                <w:lang w:val="en-US" w:eastAsia="en-GB"/>
              </w:rPr>
            </w:pPr>
            <w:r w:rsidRPr="00D16865">
              <w:rPr>
                <w:rFonts w:eastAsia="Times New Roman" w:cs="Arial"/>
                <w:u w:val="single"/>
                <w:lang w:val="en-US" w:eastAsia="en-GB"/>
              </w:rPr>
              <w:t>Education (y):</w:t>
            </w:r>
            <w:r w:rsidRPr="00D16865">
              <w:rPr>
                <w:rFonts w:eastAsia="Times New Roman" w:cs="Arial"/>
                <w:lang w:val="en-US" w:eastAsia="en-GB"/>
              </w:rPr>
              <w:t xml:space="preserve"> MCI converters 16.3±2.6 (range 9-20); MCI non-converters 15.7±2.8 (range 8-20)</w:t>
            </w:r>
          </w:p>
          <w:p w:rsidR="008921D3" w:rsidRPr="00D16865" w:rsidRDefault="008921D3" w:rsidP="006B0115">
            <w:pPr>
              <w:spacing w:after="120"/>
              <w:contextualSpacing/>
              <w:rPr>
                <w:rFonts w:eastAsia="Times New Roman" w:cs="Arial"/>
                <w:lang w:val="en-US" w:eastAsia="en-GB"/>
              </w:rPr>
            </w:pPr>
            <w:r w:rsidRPr="00D16865">
              <w:rPr>
                <w:rFonts w:eastAsia="Times New Roman" w:cs="Arial"/>
                <w:u w:val="single"/>
                <w:lang w:val="en-US" w:eastAsia="en-GB"/>
              </w:rPr>
              <w:t>Sources of referral:</w:t>
            </w:r>
            <w:r w:rsidRPr="00D16865">
              <w:rPr>
                <w:rFonts w:eastAsia="Times New Roman" w:cs="Arial"/>
                <w:lang w:val="en-US" w:eastAsia="en-GB"/>
              </w:rPr>
              <w:t xml:space="preserve"> not reported</w:t>
            </w:r>
          </w:p>
          <w:p w:rsidR="008921D3" w:rsidRPr="00D16865" w:rsidRDefault="008921D3" w:rsidP="006B0115">
            <w:pPr>
              <w:spacing w:after="120"/>
              <w:contextualSpacing/>
              <w:rPr>
                <w:rFonts w:eastAsia="Times New Roman" w:cs="Arial"/>
                <w:lang w:val="en-US" w:eastAsia="en-GB"/>
              </w:rPr>
            </w:pPr>
            <w:r w:rsidRPr="00D16865">
              <w:rPr>
                <w:rFonts w:eastAsia="Times New Roman" w:cs="Arial"/>
                <w:u w:val="single"/>
                <w:lang w:val="en-US" w:eastAsia="en-GB"/>
              </w:rPr>
              <w:lastRenderedPageBreak/>
              <w:t>Setting:</w:t>
            </w:r>
            <w:r w:rsidRPr="00D16865">
              <w:rPr>
                <w:rFonts w:eastAsia="Times New Roman" w:cs="Arial"/>
                <w:lang w:val="en-US" w:eastAsia="en-GB"/>
              </w:rPr>
              <w:t xml:space="preserve"> </w:t>
            </w:r>
            <w:r w:rsidR="004C661D" w:rsidRPr="00D16865">
              <w:rPr>
                <w:rFonts w:eastAsia="Times New Roman" w:cs="Arial"/>
                <w:lang w:val="en-US" w:eastAsia="en-GB"/>
              </w:rPr>
              <w:t>multicenter</w:t>
            </w:r>
          </w:p>
          <w:p w:rsidR="005725E7" w:rsidRPr="00D16865" w:rsidRDefault="005725E7" w:rsidP="00E66292">
            <w:pPr>
              <w:contextualSpacing/>
              <w:rPr>
                <w:rFonts w:eastAsia="Times New Roman" w:cs="Arial"/>
                <w:u w:val="single"/>
                <w:lang w:val="en-US" w:eastAsia="en-GB"/>
              </w:rPr>
            </w:pPr>
            <w:r w:rsidRPr="00D16865">
              <w:rPr>
                <w:rFonts w:eastAsia="Times New Roman" w:cs="Arial"/>
                <w:u w:val="single"/>
                <w:lang w:val="en-US" w:eastAsia="en-GB"/>
              </w:rPr>
              <w:t>Note</w:t>
            </w:r>
          </w:p>
          <w:p w:rsidR="00E66292" w:rsidRPr="00D16865" w:rsidRDefault="00E66292" w:rsidP="00E66292">
            <w:pPr>
              <w:contextualSpacing/>
              <w:rPr>
                <w:lang w:val="en-US"/>
              </w:rPr>
            </w:pPr>
            <w:r w:rsidRPr="00D16865">
              <w:rPr>
                <w:rFonts w:eastAsia="Times New Roman" w:cs="Arial"/>
                <w:lang w:val="en-US" w:eastAsia="en-GB"/>
              </w:rPr>
              <w:t xml:space="preserve"> </w:t>
            </w:r>
            <w:r w:rsidRPr="00D16865">
              <w:rPr>
                <w:lang w:val="en-US"/>
              </w:rPr>
              <w:t>MCI diagnostic criteria in ADNI studies (http://adni.loni.usc.edu/study-design/background-rationale/)</w:t>
            </w:r>
          </w:p>
          <w:p w:rsidR="00E66292" w:rsidRPr="00D16865" w:rsidRDefault="00E66292" w:rsidP="005725E7">
            <w:pPr>
              <w:contextualSpacing/>
              <w:rPr>
                <w:i/>
                <w:lang w:val="en-US"/>
              </w:rPr>
            </w:pPr>
            <w:r w:rsidRPr="00D16865">
              <w:rPr>
                <w:i/>
                <w:lang w:val="en-US"/>
              </w:rPr>
              <w:t>“MCI participants have reported a subjective memory concern either autonomously or via an informant or clinician. However, there are no significant levels of impairment in other cognitive domains, essentially preserved activities of daily living and there are no signs of dementia. Levels of MCI (early or late) are determined using the Wechsler Memory Scale Logical Memory II”</w:t>
            </w:r>
          </w:p>
        </w:tc>
      </w:tr>
      <w:tr w:rsidR="008921D3" w:rsidRPr="00D16865" w:rsidTr="0031616E">
        <w:tc>
          <w:tcPr>
            <w:tcW w:w="2771" w:type="dxa"/>
          </w:tcPr>
          <w:p w:rsidR="008921D3" w:rsidRPr="00D16865" w:rsidRDefault="008921D3" w:rsidP="006B0115">
            <w:pPr>
              <w:rPr>
                <w:b/>
                <w:lang w:val="en-US"/>
              </w:rPr>
            </w:pPr>
            <w:r w:rsidRPr="00D16865">
              <w:rPr>
                <w:b/>
                <w:lang w:val="en-US"/>
              </w:rPr>
              <w:lastRenderedPageBreak/>
              <w:t>Index test</w:t>
            </w:r>
          </w:p>
        </w:tc>
        <w:tc>
          <w:tcPr>
            <w:tcW w:w="11177" w:type="dxa"/>
          </w:tcPr>
          <w:p w:rsidR="008921D3" w:rsidRPr="00D16865" w:rsidRDefault="008921D3" w:rsidP="006B0115">
            <w:pPr>
              <w:autoSpaceDE w:val="0"/>
              <w:autoSpaceDN w:val="0"/>
              <w:adjustRightInd w:val="0"/>
              <w:rPr>
                <w:rFonts w:cs="Times-Roman"/>
                <w:lang w:val="en-US"/>
              </w:rPr>
            </w:pPr>
            <w:r w:rsidRPr="00D16865">
              <w:rPr>
                <w:vertAlign w:val="superscript"/>
                <w:lang w:val="en-US"/>
              </w:rPr>
              <w:t>18</w:t>
            </w:r>
            <w:r w:rsidRPr="00D16865">
              <w:rPr>
                <w:lang w:val="en-US"/>
              </w:rPr>
              <w:t>F-FDG PET</w:t>
            </w:r>
            <w:r w:rsidRPr="00D16865">
              <w:rPr>
                <w:rFonts w:cs="Times-Roman"/>
                <w:lang w:val="en-US"/>
              </w:rPr>
              <w:t xml:space="preserve"> scan</w:t>
            </w:r>
          </w:p>
          <w:p w:rsidR="008778F3" w:rsidRPr="00D16865" w:rsidRDefault="008778F3" w:rsidP="006B0115">
            <w:pPr>
              <w:autoSpaceDE w:val="0"/>
              <w:autoSpaceDN w:val="0"/>
              <w:adjustRightInd w:val="0"/>
              <w:rPr>
                <w:rFonts w:cs="Times-Roman"/>
                <w:lang w:val="en-US"/>
              </w:rPr>
            </w:pPr>
            <w:r w:rsidRPr="00D16865">
              <w:rPr>
                <w:rFonts w:cs="Times-Roman"/>
                <w:i/>
                <w:u w:val="single"/>
                <w:lang w:val="en-US"/>
              </w:rPr>
              <w:t>Acquisition</w:t>
            </w:r>
          </w:p>
          <w:p w:rsidR="00825DD6" w:rsidRPr="00D16865" w:rsidRDefault="00825DD6" w:rsidP="006B0115">
            <w:pPr>
              <w:autoSpaceDE w:val="0"/>
              <w:autoSpaceDN w:val="0"/>
              <w:adjustRightInd w:val="0"/>
              <w:rPr>
                <w:rFonts w:cs="Times-Roman"/>
                <w:lang w:val="en-US"/>
              </w:rPr>
            </w:pPr>
            <w:r w:rsidRPr="00D16865">
              <w:rPr>
                <w:rFonts w:cs="Times-Roman"/>
                <w:lang w:val="en-US"/>
              </w:rPr>
              <w:t>Not described. FDG PET data were downloaded at the most advanced pre-processing stage provided by ADNI.</w:t>
            </w:r>
          </w:p>
          <w:p w:rsidR="008778F3" w:rsidRPr="00D16865" w:rsidRDefault="008778F3" w:rsidP="006B0115">
            <w:pPr>
              <w:autoSpaceDE w:val="0"/>
              <w:autoSpaceDN w:val="0"/>
              <w:adjustRightInd w:val="0"/>
              <w:rPr>
                <w:rFonts w:cs="Times-Roman"/>
                <w:i/>
                <w:u w:val="single"/>
                <w:lang w:val="en-US"/>
              </w:rPr>
            </w:pPr>
            <w:r w:rsidRPr="00D16865">
              <w:rPr>
                <w:rFonts w:cs="Times-Roman"/>
                <w:i/>
                <w:u w:val="single"/>
                <w:lang w:val="en-US"/>
              </w:rPr>
              <w:t>Data analysis</w:t>
            </w:r>
          </w:p>
          <w:p w:rsidR="008778F3" w:rsidRPr="00D16865" w:rsidRDefault="00B83100" w:rsidP="008778F3">
            <w:pPr>
              <w:autoSpaceDE w:val="0"/>
              <w:autoSpaceDN w:val="0"/>
              <w:adjustRightInd w:val="0"/>
              <w:rPr>
                <w:rFonts w:cs="Times-Roman"/>
                <w:lang w:val="en-US"/>
              </w:rPr>
            </w:pPr>
            <w:r w:rsidRPr="00D16865">
              <w:rPr>
                <w:rFonts w:cs="Times-Roman"/>
                <w:lang w:val="en-US"/>
              </w:rPr>
              <w:t xml:space="preserve">Pre-processing of all images data was performed in SPM8. </w:t>
            </w:r>
            <w:proofErr w:type="spellStart"/>
            <w:r w:rsidR="008778F3" w:rsidRPr="00D16865">
              <w:rPr>
                <w:rFonts w:cs="Times-Roman"/>
                <w:lang w:val="en-US"/>
              </w:rPr>
              <w:t>Naıve</w:t>
            </w:r>
            <w:proofErr w:type="spellEnd"/>
            <w:r w:rsidR="008778F3" w:rsidRPr="00D16865">
              <w:rPr>
                <w:rFonts w:cs="Times-Roman"/>
                <w:lang w:val="en-US"/>
              </w:rPr>
              <w:t xml:space="preserve"> Bayes (NB) classification algorithm was used to evaluate the predictive accuracy of different genetic, neuropsychological, and imaging biomarkers for differe</w:t>
            </w:r>
            <w:r w:rsidRPr="00D16865">
              <w:rPr>
                <w:rFonts w:cs="Times-Roman"/>
                <w:lang w:val="en-US"/>
              </w:rPr>
              <w:t xml:space="preserve">ntiation between </w:t>
            </w:r>
            <w:proofErr w:type="spellStart"/>
            <w:r w:rsidRPr="00D16865">
              <w:rPr>
                <w:rFonts w:cs="Times-Roman"/>
                <w:lang w:val="en-US"/>
              </w:rPr>
              <w:t>cMCI</w:t>
            </w:r>
            <w:proofErr w:type="spellEnd"/>
            <w:r w:rsidRPr="00D16865">
              <w:rPr>
                <w:rFonts w:cs="Times-Roman"/>
                <w:lang w:val="en-US"/>
              </w:rPr>
              <w:t xml:space="preserve"> and sMCI. </w:t>
            </w:r>
            <w:r w:rsidR="008778F3" w:rsidRPr="00D16865">
              <w:rPr>
                <w:rFonts w:cs="Times-Roman"/>
                <w:lang w:val="en-US"/>
              </w:rPr>
              <w:t xml:space="preserve">NB classifiers were first built using all available AD and HC data separately for each of the modalities. The obtained NB classifiers were then applied to MCI data having the same biomarker constellations. </w:t>
            </w:r>
          </w:p>
          <w:p w:rsidR="008778F3" w:rsidRPr="00D16865" w:rsidRDefault="008778F3" w:rsidP="008778F3">
            <w:pPr>
              <w:autoSpaceDE w:val="0"/>
              <w:autoSpaceDN w:val="0"/>
              <w:adjustRightInd w:val="0"/>
              <w:rPr>
                <w:rFonts w:cs="Times-Roman"/>
                <w:lang w:val="en-US"/>
              </w:rPr>
            </w:pPr>
            <w:r w:rsidRPr="00D16865">
              <w:rPr>
                <w:rFonts w:cs="Times-Roman"/>
                <w:lang w:val="en-US"/>
              </w:rPr>
              <w:t>An assignment of sMCI as</w:t>
            </w:r>
            <w:r w:rsidR="005512A7" w:rsidRPr="00D16865">
              <w:rPr>
                <w:rFonts w:cs="Times-Roman"/>
                <w:lang w:val="en-US"/>
              </w:rPr>
              <w:t xml:space="preserve"> </w:t>
            </w:r>
            <w:r w:rsidRPr="00D16865">
              <w:rPr>
                <w:rFonts w:cs="Times-Roman"/>
                <w:lang w:val="en-US"/>
              </w:rPr>
              <w:t>HC</w:t>
            </w:r>
            <w:r w:rsidR="005512A7" w:rsidRPr="00D16865">
              <w:rPr>
                <w:rFonts w:cs="Times-Roman"/>
                <w:lang w:val="en-US"/>
              </w:rPr>
              <w:t xml:space="preserve"> </w:t>
            </w:r>
            <w:r w:rsidRPr="00D16865">
              <w:rPr>
                <w:rFonts w:cs="Times-Roman"/>
                <w:lang w:val="en-US"/>
              </w:rPr>
              <w:t xml:space="preserve">and of </w:t>
            </w:r>
            <w:proofErr w:type="spellStart"/>
            <w:r w:rsidRPr="00D16865">
              <w:rPr>
                <w:rFonts w:cs="Times-Roman"/>
                <w:lang w:val="en-US"/>
              </w:rPr>
              <w:t>cMCI</w:t>
            </w:r>
            <w:proofErr w:type="spellEnd"/>
            <w:r w:rsidRPr="00D16865">
              <w:rPr>
                <w:rFonts w:cs="Times-Roman"/>
                <w:lang w:val="en-US"/>
              </w:rPr>
              <w:t xml:space="preserve"> as</w:t>
            </w:r>
            <w:r w:rsidR="005512A7" w:rsidRPr="00D16865">
              <w:rPr>
                <w:rFonts w:cs="Times-Roman"/>
                <w:lang w:val="en-US"/>
              </w:rPr>
              <w:t xml:space="preserve"> </w:t>
            </w:r>
            <w:r w:rsidRPr="00D16865">
              <w:rPr>
                <w:rFonts w:cs="Times-Roman"/>
                <w:lang w:val="en-US"/>
              </w:rPr>
              <w:t>AD</w:t>
            </w:r>
            <w:r w:rsidR="005512A7" w:rsidRPr="00D16865">
              <w:rPr>
                <w:rFonts w:cs="Times-Roman"/>
                <w:lang w:val="en-US"/>
              </w:rPr>
              <w:t xml:space="preserve"> </w:t>
            </w:r>
            <w:r w:rsidRPr="00D16865">
              <w:rPr>
                <w:rFonts w:cs="Times-Roman"/>
                <w:lang w:val="en-US"/>
              </w:rPr>
              <w:t>was considered as correct. Balanced accuracies</w:t>
            </w:r>
            <w:r w:rsidR="00D54F4C" w:rsidRPr="00D16865">
              <w:rPr>
                <w:rFonts w:cs="Times-Roman"/>
                <w:lang w:val="en-US"/>
              </w:rPr>
              <w:t xml:space="preserve"> </w:t>
            </w:r>
            <w:r w:rsidRPr="00D16865">
              <w:rPr>
                <w:rFonts w:cs="Times-Roman"/>
                <w:lang w:val="en-US"/>
              </w:rPr>
              <w:t>((</w:t>
            </w:r>
            <w:proofErr w:type="spellStart"/>
            <w:r w:rsidRPr="00D16865">
              <w:rPr>
                <w:rFonts w:cs="Times-Roman"/>
                <w:lang w:val="en-US"/>
              </w:rPr>
              <w:t>sensitivity+specificity</w:t>
            </w:r>
            <w:proofErr w:type="spellEnd"/>
            <w:r w:rsidRPr="00D16865">
              <w:rPr>
                <w:rFonts w:cs="Times-Roman"/>
                <w:lang w:val="en-US"/>
              </w:rPr>
              <w:t>)/2), sensitivities, specificities, receiver operating characteristics (ROC) curves, and the area under the curve (AUC) were computed based on predicted labels by each NB output.</w:t>
            </w:r>
          </w:p>
          <w:p w:rsidR="008921D3" w:rsidRPr="00D16865" w:rsidRDefault="008921D3" w:rsidP="008778F3">
            <w:pPr>
              <w:spacing w:after="240"/>
              <w:contextualSpacing/>
              <w:rPr>
                <w:lang w:val="en-US"/>
              </w:rPr>
            </w:pPr>
            <w:r w:rsidRPr="00D16865">
              <w:rPr>
                <w:u w:val="single"/>
                <w:lang w:val="en-US"/>
              </w:rPr>
              <w:t>Threshold:</w:t>
            </w:r>
            <w:r w:rsidRPr="00D16865">
              <w:rPr>
                <w:lang w:val="en-US"/>
              </w:rPr>
              <w:t xml:space="preserve"> no single threshold value report possible for FDG-PET as the decision was made by the classifier based on the pattern seen in a set of AD relevant regions (s. </w:t>
            </w:r>
            <w:proofErr w:type="gramStart"/>
            <w:r w:rsidRPr="00D16865">
              <w:rPr>
                <w:lang w:val="en-US"/>
              </w:rPr>
              <w:t>supplement</w:t>
            </w:r>
            <w:r w:rsidR="008778F3" w:rsidRPr="00D16865">
              <w:rPr>
                <w:lang w:val="en-US"/>
              </w:rPr>
              <w:t xml:space="preserve"> .</w:t>
            </w:r>
            <w:proofErr w:type="spellStart"/>
            <w:r w:rsidR="008778F3" w:rsidRPr="00D16865">
              <w:rPr>
                <w:lang w:val="en-US"/>
              </w:rPr>
              <w:t>nii</w:t>
            </w:r>
            <w:proofErr w:type="spellEnd"/>
            <w:proofErr w:type="gramEnd"/>
            <w:r w:rsidR="008778F3" w:rsidRPr="00D16865">
              <w:rPr>
                <w:lang w:val="en-US"/>
              </w:rPr>
              <w:t xml:space="preserve"> images) (Dr</w:t>
            </w:r>
            <w:r w:rsidR="004C661D">
              <w:rPr>
                <w:lang w:val="en-US"/>
              </w:rPr>
              <w:t>,</w:t>
            </w:r>
            <w:r w:rsidR="008778F3" w:rsidRPr="00D16865">
              <w:rPr>
                <w:lang w:val="en-US"/>
              </w:rPr>
              <w:t xml:space="preserve"> </w:t>
            </w:r>
            <w:proofErr w:type="spellStart"/>
            <w:r w:rsidR="008778F3" w:rsidRPr="00D16865">
              <w:rPr>
                <w:lang w:val="en-US"/>
              </w:rPr>
              <w:t>Dukart</w:t>
            </w:r>
            <w:proofErr w:type="spellEnd"/>
            <w:r w:rsidR="008778F3" w:rsidRPr="00D16865">
              <w:rPr>
                <w:lang w:val="en-US"/>
              </w:rPr>
              <w:t>’ email on 16/3/2016)</w:t>
            </w:r>
          </w:p>
        </w:tc>
      </w:tr>
      <w:tr w:rsidR="008921D3" w:rsidRPr="00D16865" w:rsidTr="0031616E">
        <w:tc>
          <w:tcPr>
            <w:tcW w:w="2771" w:type="dxa"/>
          </w:tcPr>
          <w:p w:rsidR="008921D3" w:rsidRPr="00D16865" w:rsidRDefault="008921D3" w:rsidP="006B0115">
            <w:pPr>
              <w:rPr>
                <w:b/>
                <w:lang w:val="en-US"/>
              </w:rPr>
            </w:pPr>
            <w:r w:rsidRPr="00D16865">
              <w:rPr>
                <w:b/>
                <w:lang w:val="en-US"/>
              </w:rPr>
              <w:t>Target condition</w:t>
            </w:r>
          </w:p>
        </w:tc>
        <w:tc>
          <w:tcPr>
            <w:tcW w:w="11177" w:type="dxa"/>
          </w:tcPr>
          <w:p w:rsidR="008921D3" w:rsidRPr="00D16865" w:rsidRDefault="008921D3" w:rsidP="006B0115">
            <w:pPr>
              <w:contextualSpacing/>
              <w:rPr>
                <w:lang w:val="en-US"/>
              </w:rPr>
            </w:pPr>
            <w:r w:rsidRPr="00D16865">
              <w:rPr>
                <w:lang w:val="en-US"/>
              </w:rPr>
              <w:t>Target condition: conversion from MCI to Alzheimer’s disease dementia</w:t>
            </w:r>
          </w:p>
          <w:p w:rsidR="008921D3" w:rsidRPr="00D16865" w:rsidRDefault="008921D3" w:rsidP="006B0115">
            <w:pPr>
              <w:rPr>
                <w:rFonts w:eastAsia="Times New Roman" w:cs="Arial"/>
                <w:lang w:val="en-US" w:eastAsia="en-GB"/>
              </w:rPr>
            </w:pPr>
            <w:r w:rsidRPr="00D16865">
              <w:rPr>
                <w:lang w:val="en-US"/>
              </w:rPr>
              <w:t xml:space="preserve">Reference standard: </w:t>
            </w:r>
            <w:r w:rsidRPr="00D16865">
              <w:rPr>
                <w:rFonts w:eastAsia="Times New Roman" w:cs="Arial"/>
                <w:lang w:val="en-US" w:eastAsia="en-GB"/>
              </w:rPr>
              <w:t xml:space="preserve">NINCDS-ADRDA </w:t>
            </w:r>
          </w:p>
        </w:tc>
      </w:tr>
      <w:tr w:rsidR="006C75E5" w:rsidRPr="00D16865" w:rsidTr="0031616E">
        <w:tc>
          <w:tcPr>
            <w:tcW w:w="2771" w:type="dxa"/>
          </w:tcPr>
          <w:p w:rsidR="006C75E5" w:rsidRPr="00D16865" w:rsidRDefault="006C75E5" w:rsidP="006B0115">
            <w:pPr>
              <w:rPr>
                <w:b/>
                <w:lang w:val="en-US"/>
              </w:rPr>
            </w:pPr>
            <w:r w:rsidRPr="00D16865">
              <w:rPr>
                <w:b/>
                <w:lang w:val="en-US"/>
              </w:rPr>
              <w:t>Flow and timing</w:t>
            </w:r>
          </w:p>
        </w:tc>
        <w:tc>
          <w:tcPr>
            <w:tcW w:w="11177" w:type="dxa"/>
          </w:tcPr>
          <w:p w:rsidR="006C75E5" w:rsidRPr="00D16865" w:rsidRDefault="006C75E5" w:rsidP="006B0115">
            <w:pPr>
              <w:spacing w:after="120"/>
              <w:contextualSpacing/>
              <w:rPr>
                <w:rFonts w:eastAsia="Times New Roman" w:cs="Arial"/>
                <w:lang w:val="en-US" w:eastAsia="en-GB"/>
              </w:rPr>
            </w:pPr>
            <w:r w:rsidRPr="00D16865">
              <w:rPr>
                <w:rFonts w:eastAsia="Times New Roman" w:cs="Arial"/>
                <w:lang w:val="en-US" w:eastAsia="en-GB"/>
              </w:rPr>
              <w:t xml:space="preserve">Duration of follow-up: </w:t>
            </w:r>
            <w:r w:rsidRPr="00D16865">
              <w:rPr>
                <w:lang w:val="en-US"/>
              </w:rPr>
              <w:t xml:space="preserve">average for sMCI= 27 month; average for </w:t>
            </w:r>
            <w:proofErr w:type="spellStart"/>
            <w:r w:rsidRPr="00D16865">
              <w:rPr>
                <w:lang w:val="en-US"/>
              </w:rPr>
              <w:t>cMCI</w:t>
            </w:r>
            <w:proofErr w:type="spellEnd"/>
            <w:r w:rsidRPr="00D16865">
              <w:rPr>
                <w:lang w:val="en-US"/>
              </w:rPr>
              <w:t>=36 month</w:t>
            </w:r>
          </w:p>
          <w:p w:rsidR="006C75E5" w:rsidRPr="00D16865" w:rsidRDefault="006C75E5" w:rsidP="006B0115">
            <w:pPr>
              <w:autoSpaceDE w:val="0"/>
              <w:autoSpaceDN w:val="0"/>
              <w:adjustRightInd w:val="0"/>
              <w:rPr>
                <w:rFonts w:eastAsia="Times New Roman" w:cs="Arial"/>
                <w:u w:val="single"/>
                <w:lang w:val="en-US" w:eastAsia="en-GB"/>
              </w:rPr>
            </w:pPr>
            <w:r w:rsidRPr="00D16865">
              <w:rPr>
                <w:rFonts w:eastAsia="Times New Roman" w:cs="Arial"/>
                <w:u w:val="single"/>
                <w:lang w:val="en-US" w:eastAsia="en-GB"/>
              </w:rPr>
              <w:t>Number included in analysis (N=164)</w:t>
            </w:r>
          </w:p>
          <w:p w:rsidR="00B83100" w:rsidRPr="00D16865" w:rsidRDefault="00B83100" w:rsidP="006B0115">
            <w:pPr>
              <w:autoSpaceDE w:val="0"/>
              <w:autoSpaceDN w:val="0"/>
              <w:adjustRightInd w:val="0"/>
              <w:rPr>
                <w:rFonts w:eastAsia="Times New Roman" w:cs="Arial"/>
                <w:lang w:val="en-US" w:eastAsia="en-GB"/>
              </w:rPr>
            </w:pPr>
            <w:r w:rsidRPr="00D16865">
              <w:rPr>
                <w:rFonts w:eastAsia="Times New Roman" w:cs="Arial"/>
                <w:lang w:val="en-US" w:eastAsia="en-GB"/>
              </w:rPr>
              <w:t>Conversion to AD</w:t>
            </w:r>
          </w:p>
          <w:p w:rsidR="006C75E5" w:rsidRPr="00D16865" w:rsidRDefault="006C75E5" w:rsidP="006B0115">
            <w:pPr>
              <w:autoSpaceDE w:val="0"/>
              <w:autoSpaceDN w:val="0"/>
              <w:adjustRightInd w:val="0"/>
              <w:rPr>
                <w:rFonts w:eastAsia="Times New Roman" w:cs="Arial"/>
                <w:lang w:val="en-US" w:eastAsia="en-GB"/>
              </w:rPr>
            </w:pPr>
            <w:r w:rsidRPr="00D16865">
              <w:rPr>
                <w:rFonts w:eastAsia="Times New Roman" w:cs="Arial"/>
                <w:lang w:val="en-US" w:eastAsia="en-GB"/>
              </w:rPr>
              <w:t>At follow-up: 29 MCI-converters (disease positive); 135 MCI-non-converters (disease negative)</w:t>
            </w:r>
          </w:p>
          <w:p w:rsidR="006C75E5" w:rsidRPr="00D16865" w:rsidRDefault="00B83100" w:rsidP="006B0115">
            <w:pPr>
              <w:autoSpaceDE w:val="0"/>
              <w:autoSpaceDN w:val="0"/>
              <w:adjustRightInd w:val="0"/>
              <w:rPr>
                <w:rFonts w:eastAsia="Times New Roman" w:cs="Arial"/>
                <w:lang w:val="en-US" w:eastAsia="en-GB"/>
              </w:rPr>
            </w:pPr>
            <w:r w:rsidRPr="00D16865">
              <w:rPr>
                <w:rFonts w:eastAsia="Times New Roman" w:cs="Arial"/>
                <w:lang w:val="en-US" w:eastAsia="en-GB"/>
              </w:rPr>
              <w:t>Sensitivity=</w:t>
            </w:r>
            <w:r w:rsidR="006C75E5" w:rsidRPr="00D16865">
              <w:rPr>
                <w:rFonts w:eastAsia="Times New Roman" w:cs="Arial"/>
                <w:lang w:val="en-US" w:eastAsia="en-GB"/>
              </w:rPr>
              <w:t>90</w:t>
            </w:r>
            <w:r w:rsidRPr="00D16865">
              <w:rPr>
                <w:rFonts w:eastAsia="Times New Roman" w:cs="Arial"/>
                <w:lang w:val="en-US" w:eastAsia="en-GB"/>
              </w:rPr>
              <w:t>%; specificity=84% (T</w:t>
            </w:r>
            <w:r w:rsidR="006C75E5" w:rsidRPr="00D16865">
              <w:rPr>
                <w:rFonts w:eastAsia="Times New Roman" w:cs="Arial"/>
                <w:lang w:val="en-US" w:eastAsia="en-GB"/>
              </w:rPr>
              <w:t>able 2, p1150)</w:t>
            </w:r>
          </w:p>
          <w:p w:rsidR="006C75E5" w:rsidRPr="00D16865" w:rsidRDefault="006C75E5" w:rsidP="008778F3">
            <w:pPr>
              <w:autoSpaceDE w:val="0"/>
              <w:autoSpaceDN w:val="0"/>
              <w:adjustRightInd w:val="0"/>
              <w:rPr>
                <w:rFonts w:cs="AdvTT3713a231"/>
                <w:lang w:val="en-US"/>
              </w:rPr>
            </w:pPr>
            <w:r w:rsidRPr="00D16865">
              <w:rPr>
                <w:rFonts w:cs="Arial"/>
                <w:lang w:val="en-US"/>
              </w:rPr>
              <w:t>TP=</w:t>
            </w:r>
            <w:r w:rsidR="00ED6934" w:rsidRPr="00D16865">
              <w:rPr>
                <w:rFonts w:cs="Arial"/>
                <w:lang w:val="en-US"/>
              </w:rPr>
              <w:t>26</w:t>
            </w:r>
            <w:r w:rsidRPr="00D16865">
              <w:rPr>
                <w:rFonts w:cs="Arial"/>
                <w:lang w:val="en-US"/>
              </w:rPr>
              <w:t>; FP=</w:t>
            </w:r>
            <w:r w:rsidR="00ED6934" w:rsidRPr="00D16865">
              <w:rPr>
                <w:rFonts w:cs="Arial"/>
                <w:lang w:val="en-US"/>
              </w:rPr>
              <w:t>22</w:t>
            </w:r>
            <w:r w:rsidRPr="00D16865">
              <w:rPr>
                <w:rFonts w:cs="Arial"/>
                <w:lang w:val="en-US"/>
              </w:rPr>
              <w:t>; FN=</w:t>
            </w:r>
            <w:r w:rsidR="00ED6934" w:rsidRPr="00D16865">
              <w:rPr>
                <w:rFonts w:cs="Arial"/>
                <w:lang w:val="en-US"/>
              </w:rPr>
              <w:t>3</w:t>
            </w:r>
            <w:r w:rsidRPr="00D16865">
              <w:rPr>
                <w:rFonts w:cs="Arial"/>
                <w:lang w:val="en-US"/>
              </w:rPr>
              <w:t>; TN=</w:t>
            </w:r>
            <w:r w:rsidR="00ED6934" w:rsidRPr="00D16865">
              <w:rPr>
                <w:rFonts w:cs="Arial"/>
                <w:lang w:val="en-US"/>
              </w:rPr>
              <w:t>113</w:t>
            </w:r>
            <w:r w:rsidRPr="00D16865">
              <w:rPr>
                <w:rFonts w:cs="Arial"/>
                <w:lang w:val="en-US"/>
              </w:rPr>
              <w:t xml:space="preserve"> (Calculate</w:t>
            </w:r>
            <w:r w:rsidR="00B83100" w:rsidRPr="00D16865">
              <w:rPr>
                <w:rFonts w:cs="Arial"/>
                <w:lang w:val="en-US"/>
              </w:rPr>
              <w:t>d</w:t>
            </w:r>
            <w:r w:rsidRPr="00D16865">
              <w:rPr>
                <w:rFonts w:cs="Arial"/>
                <w:lang w:val="en-US"/>
              </w:rPr>
              <w:t xml:space="preserve"> in Revman5)</w:t>
            </w:r>
          </w:p>
        </w:tc>
      </w:tr>
      <w:tr w:rsidR="008921D3" w:rsidRPr="00D16865" w:rsidTr="0031616E">
        <w:tc>
          <w:tcPr>
            <w:tcW w:w="13948" w:type="dxa"/>
            <w:gridSpan w:val="2"/>
          </w:tcPr>
          <w:p w:rsidR="00284F24" w:rsidRPr="00D16865" w:rsidRDefault="00284F24">
            <w:pPr>
              <w:rPr>
                <w:b/>
                <w:lang w:val="en-US"/>
              </w:rPr>
            </w:pPr>
            <w:r w:rsidRPr="00D16865">
              <w:rPr>
                <w:b/>
                <w:lang w:val="en-US"/>
              </w:rPr>
              <w:t>Notes</w:t>
            </w:r>
          </w:p>
          <w:p w:rsidR="008921D3" w:rsidRPr="00D16865" w:rsidRDefault="004C661D">
            <w:pPr>
              <w:rPr>
                <w:rFonts w:cs="Times-Roman"/>
                <w:lang w:val="en-US"/>
              </w:rPr>
            </w:pPr>
            <w:r>
              <w:rPr>
                <w:lang w:val="en-US"/>
              </w:rPr>
              <w:t xml:space="preserve">The author contacted and </w:t>
            </w:r>
            <w:r w:rsidR="008921D3" w:rsidRPr="00D16865">
              <w:rPr>
                <w:lang w:val="en-US"/>
              </w:rPr>
              <w:t xml:space="preserve">confirmed </w:t>
            </w:r>
            <w:r w:rsidR="00B83100" w:rsidRPr="00D16865">
              <w:rPr>
                <w:lang w:val="en-US"/>
              </w:rPr>
              <w:t>(Dr</w:t>
            </w:r>
            <w:r>
              <w:rPr>
                <w:lang w:val="en-US"/>
              </w:rPr>
              <w:t>.</w:t>
            </w:r>
            <w:r w:rsidR="00B83100" w:rsidRPr="00D16865">
              <w:rPr>
                <w:lang w:val="en-US"/>
              </w:rPr>
              <w:t xml:space="preserve"> </w:t>
            </w:r>
            <w:proofErr w:type="spellStart"/>
            <w:r w:rsidR="00B83100" w:rsidRPr="00D16865">
              <w:rPr>
                <w:lang w:val="en-US"/>
              </w:rPr>
              <w:t>Dukart’s</w:t>
            </w:r>
            <w:proofErr w:type="spellEnd"/>
            <w:r w:rsidR="00B83100" w:rsidRPr="00D16865">
              <w:rPr>
                <w:lang w:val="en-US"/>
              </w:rPr>
              <w:t xml:space="preserve"> email on 16/3/2016) </w:t>
            </w:r>
            <w:r w:rsidR="008921D3" w:rsidRPr="00D16865">
              <w:rPr>
                <w:lang w:val="en-US"/>
              </w:rPr>
              <w:t xml:space="preserve">that the sensitivity and specificity values for </w:t>
            </w:r>
            <w:r w:rsidR="008921D3" w:rsidRPr="00D16865">
              <w:rPr>
                <w:vertAlign w:val="superscript"/>
                <w:lang w:val="en-US"/>
              </w:rPr>
              <w:t>18</w:t>
            </w:r>
            <w:r w:rsidR="008921D3" w:rsidRPr="00D16865">
              <w:rPr>
                <w:lang w:val="en-US"/>
              </w:rPr>
              <w:t>F-FDG PET</w:t>
            </w:r>
            <w:r w:rsidR="008921D3" w:rsidRPr="00D16865">
              <w:rPr>
                <w:rFonts w:cs="Times-Roman"/>
                <w:lang w:val="en-US"/>
              </w:rPr>
              <w:t xml:space="preserve"> scan alone in Table 2 correspond to 135 sMCI and 29 pMCI (Table 1); additional missing data provided</w:t>
            </w:r>
            <w:r w:rsidR="00B83100" w:rsidRPr="00D16865">
              <w:rPr>
                <w:rFonts w:cs="Times-Roman"/>
                <w:lang w:val="en-US"/>
              </w:rPr>
              <w:t>.</w:t>
            </w:r>
          </w:p>
          <w:p w:rsidR="005F7A97" w:rsidRPr="00D16865" w:rsidRDefault="005D0045" w:rsidP="005F7A97">
            <w:pPr>
              <w:contextualSpacing/>
              <w:rPr>
                <w:lang w:val="en-US"/>
              </w:rPr>
            </w:pPr>
            <w:r w:rsidRPr="00D16865">
              <w:rPr>
                <w:b/>
                <w:lang w:val="en-US"/>
              </w:rPr>
              <w:t xml:space="preserve">Objective: </w:t>
            </w:r>
            <w:r w:rsidR="005F7A97" w:rsidRPr="00D16865">
              <w:rPr>
                <w:lang w:val="en-US"/>
              </w:rPr>
              <w:t xml:space="preserve">to evaluate the most promising combinations of a variety of imaging, </w:t>
            </w:r>
            <w:r w:rsidR="004C661D" w:rsidRPr="00D16865">
              <w:rPr>
                <w:lang w:val="en-US"/>
              </w:rPr>
              <w:t>neuropsychological</w:t>
            </w:r>
            <w:r w:rsidR="005F7A97" w:rsidRPr="00D16865">
              <w:rPr>
                <w:lang w:val="en-US"/>
              </w:rPr>
              <w:t xml:space="preserve"> and genetic biomarkers for the accurate prediction of conversion to AD.</w:t>
            </w:r>
          </w:p>
          <w:p w:rsidR="005F7A97" w:rsidRPr="00D16865" w:rsidRDefault="005F7A97" w:rsidP="005F7A97">
            <w:pPr>
              <w:contextualSpacing/>
              <w:rPr>
                <w:lang w:val="en-US"/>
              </w:rPr>
            </w:pPr>
            <w:r w:rsidRPr="00D16865">
              <w:rPr>
                <w:b/>
                <w:lang w:val="en-US"/>
              </w:rPr>
              <w:lastRenderedPageBreak/>
              <w:t>Hypothesis:</w:t>
            </w:r>
            <w:r w:rsidRPr="00D16865">
              <w:rPr>
                <w:lang w:val="en-US"/>
              </w:rPr>
              <w:t xml:space="preserve"> a combination of biomarkers covering several genetic, </w:t>
            </w:r>
            <w:r w:rsidR="004C661D" w:rsidRPr="00D16865">
              <w:rPr>
                <w:lang w:val="en-US"/>
              </w:rPr>
              <w:t>behavioral</w:t>
            </w:r>
            <w:r w:rsidRPr="00D16865">
              <w:rPr>
                <w:lang w:val="en-US"/>
              </w:rPr>
              <w:t>, and neuropathological factors will provide higher sensitivity for early AD detection and disease staging as compared to best performing single modality biomarker.</w:t>
            </w:r>
          </w:p>
          <w:p w:rsidR="002E602C" w:rsidRPr="00D16865" w:rsidRDefault="002E602C">
            <w:pPr>
              <w:rPr>
                <w:rFonts w:cs="Times-Roman"/>
                <w:lang w:val="en-US"/>
              </w:rPr>
            </w:pPr>
            <w:r w:rsidRPr="00D16865">
              <w:rPr>
                <w:rFonts w:cs="Times-Roman"/>
                <w:b/>
                <w:lang w:val="en-US"/>
              </w:rPr>
              <w:t>Conclusion</w:t>
            </w:r>
          </w:p>
          <w:p w:rsidR="002E602C" w:rsidRPr="00D16865" w:rsidRDefault="009B25F0" w:rsidP="009B25F0">
            <w:pPr>
              <w:autoSpaceDE w:val="0"/>
              <w:autoSpaceDN w:val="0"/>
              <w:adjustRightInd w:val="0"/>
              <w:rPr>
                <w:rFonts w:cs="Times-Roman"/>
                <w:lang w:val="en-US"/>
              </w:rPr>
            </w:pPr>
            <w:r w:rsidRPr="00D16865">
              <w:rPr>
                <w:rFonts w:cs="Times-Roman"/>
                <w:lang w:val="en-US"/>
              </w:rPr>
              <w:t>“</w:t>
            </w:r>
            <w:r w:rsidR="002E602C" w:rsidRPr="00D16865">
              <w:rPr>
                <w:rFonts w:cs="Times-Roman"/>
                <w:lang w:val="en-US"/>
              </w:rPr>
              <w:t xml:space="preserve">As a single marker, </w:t>
            </w:r>
            <w:r w:rsidR="002E602C" w:rsidRPr="00D16865">
              <w:rPr>
                <w:vertAlign w:val="superscript"/>
                <w:lang w:val="en-US"/>
              </w:rPr>
              <w:t>18</w:t>
            </w:r>
            <w:r w:rsidR="002E602C" w:rsidRPr="00D16865">
              <w:rPr>
                <w:lang w:val="en-US"/>
              </w:rPr>
              <w:t>F-FDG PET</w:t>
            </w:r>
            <w:r w:rsidR="002E602C" w:rsidRPr="00D16865">
              <w:rPr>
                <w:rFonts w:cs="Times-Roman"/>
                <w:lang w:val="en-US"/>
              </w:rPr>
              <w:t xml:space="preserve"> scan </w:t>
            </w:r>
            <w:r w:rsidR="00870C2B" w:rsidRPr="00D16865">
              <w:rPr>
                <w:rFonts w:cs="Times-Roman"/>
                <w:lang w:val="en-US"/>
              </w:rPr>
              <w:t>had the highes</w:t>
            </w:r>
            <w:r w:rsidRPr="00D16865">
              <w:rPr>
                <w:rFonts w:cs="Times-Roman"/>
                <w:lang w:val="en-US"/>
              </w:rPr>
              <w:t>t accuracy (76%)… W</w:t>
            </w:r>
            <w:r w:rsidR="00870C2B" w:rsidRPr="00D16865">
              <w:rPr>
                <w:rFonts w:cs="Times-Roman"/>
                <w:lang w:val="en-US"/>
              </w:rPr>
              <w:t xml:space="preserve">hen including further imaging modalities and genetic information, this accuracy increased to about 87%. Fully independent classifiers, built only on AD and controls data, and combining imaging, genetic, and/or neuropsychological biomarkers can more reliably discriminate </w:t>
            </w:r>
            <w:r w:rsidRPr="00D16865">
              <w:rPr>
                <w:rFonts w:cs="Times-Roman"/>
                <w:lang w:val="en-US"/>
              </w:rPr>
              <w:t xml:space="preserve">between stable and converter MCI than single modality classifier”. </w:t>
            </w:r>
          </w:p>
        </w:tc>
      </w:tr>
      <w:tr w:rsidR="008921D3" w:rsidRPr="00D16865" w:rsidTr="0031616E">
        <w:tc>
          <w:tcPr>
            <w:tcW w:w="13948" w:type="dxa"/>
            <w:gridSpan w:val="2"/>
          </w:tcPr>
          <w:p w:rsidR="008921D3" w:rsidRPr="00D16865" w:rsidRDefault="008921D3">
            <w:pPr>
              <w:rPr>
                <w:b/>
                <w:lang w:val="en-US"/>
              </w:rPr>
            </w:pPr>
          </w:p>
        </w:tc>
      </w:tr>
      <w:tr w:rsidR="008921D3" w:rsidRPr="00D16865" w:rsidTr="0031616E">
        <w:tc>
          <w:tcPr>
            <w:tcW w:w="13948" w:type="dxa"/>
            <w:gridSpan w:val="2"/>
          </w:tcPr>
          <w:p w:rsidR="008921D3" w:rsidRPr="00D16865" w:rsidRDefault="009B25F0">
            <w:pPr>
              <w:rPr>
                <w:b/>
                <w:lang w:val="en-US"/>
              </w:rPr>
            </w:pPr>
            <w:proofErr w:type="spellStart"/>
            <w:r w:rsidRPr="00D16865">
              <w:rPr>
                <w:b/>
                <w:lang w:val="en-US"/>
              </w:rPr>
              <w:t>Gomar</w:t>
            </w:r>
            <w:proofErr w:type="spellEnd"/>
            <w:r w:rsidRPr="00D16865">
              <w:rPr>
                <w:b/>
                <w:lang w:val="en-US"/>
              </w:rPr>
              <w:t xml:space="preserve"> 2011</w:t>
            </w:r>
          </w:p>
        </w:tc>
      </w:tr>
      <w:tr w:rsidR="00A64D8D" w:rsidRPr="00D16865" w:rsidTr="0031616E">
        <w:tc>
          <w:tcPr>
            <w:tcW w:w="2771" w:type="dxa"/>
          </w:tcPr>
          <w:p w:rsidR="00A64D8D" w:rsidRPr="00D16865" w:rsidRDefault="00A64D8D" w:rsidP="006B0115">
            <w:pPr>
              <w:rPr>
                <w:b/>
                <w:lang w:val="en-US"/>
              </w:rPr>
            </w:pPr>
            <w:r w:rsidRPr="00D16865">
              <w:rPr>
                <w:b/>
                <w:lang w:val="en-US"/>
              </w:rPr>
              <w:t>Patient sampling</w:t>
            </w:r>
          </w:p>
        </w:tc>
        <w:tc>
          <w:tcPr>
            <w:tcW w:w="11177" w:type="dxa"/>
          </w:tcPr>
          <w:p w:rsidR="00557B9D" w:rsidRPr="00D16865" w:rsidRDefault="00A64D8D" w:rsidP="00557B9D">
            <w:pPr>
              <w:spacing w:after="120"/>
              <w:contextualSpacing/>
              <w:rPr>
                <w:rFonts w:cs="AdvTT3713a231"/>
                <w:color w:val="131413"/>
                <w:lang w:val="en-US"/>
              </w:rPr>
            </w:pPr>
            <w:r w:rsidRPr="00D16865">
              <w:rPr>
                <w:u w:val="single"/>
                <w:lang w:val="en-US"/>
              </w:rPr>
              <w:t>Study design</w:t>
            </w:r>
            <w:r w:rsidRPr="00D16865">
              <w:rPr>
                <w:lang w:val="en-US"/>
              </w:rPr>
              <w:t xml:space="preserve">: </w:t>
            </w:r>
            <w:r w:rsidR="00135B28" w:rsidRPr="00D16865">
              <w:rPr>
                <w:lang w:val="en-US"/>
              </w:rPr>
              <w:t xml:space="preserve">nested case-control study; </w:t>
            </w:r>
            <w:r w:rsidR="00557B9D" w:rsidRPr="00D16865">
              <w:rPr>
                <w:lang w:val="en-US"/>
              </w:rPr>
              <w:t>retrospective analysis of longitudinal data from ADNI database</w:t>
            </w:r>
            <w:r w:rsidR="00557B9D" w:rsidRPr="00D16865">
              <w:rPr>
                <w:rFonts w:cs="AdvTT3713a231"/>
                <w:color w:val="131413"/>
                <w:lang w:val="en-US"/>
              </w:rPr>
              <w:t xml:space="preserve"> </w:t>
            </w:r>
          </w:p>
          <w:p w:rsidR="00502E64" w:rsidRPr="00D16865" w:rsidRDefault="00A64D8D" w:rsidP="00557B9D">
            <w:pPr>
              <w:spacing w:after="120"/>
              <w:contextualSpacing/>
              <w:rPr>
                <w:rFonts w:eastAsia="Times New Roman" w:cs="Arial"/>
                <w:lang w:val="en-US" w:eastAsia="en-GB"/>
              </w:rPr>
            </w:pPr>
            <w:r w:rsidRPr="00D16865">
              <w:rPr>
                <w:rFonts w:cs="AdvTT3713a231"/>
                <w:color w:val="131413"/>
                <w:lang w:val="en-US"/>
              </w:rPr>
              <w:t>MCI participants with a number of baseline cognitive tests and biomarkers (</w:t>
            </w:r>
            <w:r w:rsidR="005725E7" w:rsidRPr="00D16865">
              <w:rPr>
                <w:rFonts w:cs="Arial"/>
                <w:vertAlign w:val="superscript"/>
                <w:lang w:val="en-US"/>
              </w:rPr>
              <w:t>18</w:t>
            </w:r>
            <w:r w:rsidR="005725E7" w:rsidRPr="00D16865">
              <w:rPr>
                <w:rFonts w:cs="Arial"/>
                <w:lang w:val="en-US"/>
              </w:rPr>
              <w:t xml:space="preserve">F-FDG PET </w:t>
            </w:r>
            <w:r w:rsidRPr="00D16865">
              <w:rPr>
                <w:rFonts w:cs="AdvTT3713a231"/>
                <w:color w:val="131413"/>
                <w:lang w:val="en-US"/>
              </w:rPr>
              <w:t xml:space="preserve">scan, MRI and CSF measures) were recruited from ADNI database. </w:t>
            </w:r>
            <w:r w:rsidRPr="00D16865">
              <w:rPr>
                <w:rFonts w:eastAsia="Times New Roman" w:cs="Arial"/>
                <w:lang w:val="en-US" w:eastAsia="en-GB"/>
              </w:rPr>
              <w:t xml:space="preserve">We only included data on performance of </w:t>
            </w:r>
            <w:r w:rsidR="005725E7" w:rsidRPr="00D16865">
              <w:rPr>
                <w:rFonts w:cs="Arial"/>
                <w:vertAlign w:val="superscript"/>
                <w:lang w:val="en-US"/>
              </w:rPr>
              <w:t>18</w:t>
            </w:r>
            <w:r w:rsidR="005725E7" w:rsidRPr="00D16865">
              <w:rPr>
                <w:rFonts w:cs="Arial"/>
                <w:lang w:val="en-US"/>
              </w:rPr>
              <w:t xml:space="preserve">F-FDG PET </w:t>
            </w:r>
            <w:r w:rsidRPr="00D16865">
              <w:rPr>
                <w:rFonts w:cs="AdvTT3713a231"/>
                <w:color w:val="131413"/>
                <w:lang w:val="en-US"/>
              </w:rPr>
              <w:t>scan</w:t>
            </w:r>
            <w:r w:rsidRPr="00D16865">
              <w:rPr>
                <w:rFonts w:eastAsia="Times New Roman" w:cs="Arial"/>
                <w:lang w:val="en-US" w:eastAsia="en-GB"/>
              </w:rPr>
              <w:t xml:space="preserve"> alone to discriminate between patients with MCI who convert to dementia and </w:t>
            </w:r>
            <w:r w:rsidR="00502E64" w:rsidRPr="00D16865">
              <w:rPr>
                <w:rFonts w:eastAsia="Times New Roman" w:cs="Arial"/>
                <w:lang w:val="en-US" w:eastAsia="en-GB"/>
              </w:rPr>
              <w:t>those who remained stable.</w:t>
            </w:r>
          </w:p>
          <w:p w:rsidR="00A64D8D" w:rsidRPr="00D16865" w:rsidRDefault="00A64D8D" w:rsidP="00502E64">
            <w:pPr>
              <w:spacing w:after="120"/>
              <w:rPr>
                <w:rFonts w:eastAsia="Times New Roman" w:cs="Arial"/>
                <w:lang w:val="en-US" w:eastAsia="en-GB"/>
              </w:rPr>
            </w:pPr>
            <w:r w:rsidRPr="00D16865">
              <w:rPr>
                <w:rFonts w:cs="Arial"/>
                <w:u w:val="single"/>
                <w:lang w:val="en-US"/>
              </w:rPr>
              <w:t>Exclusion criteria</w:t>
            </w:r>
            <w:r w:rsidRPr="00D16865">
              <w:rPr>
                <w:rFonts w:cs="Arial"/>
                <w:lang w:val="en-US"/>
              </w:rPr>
              <w:t xml:space="preserve">: </w:t>
            </w:r>
            <w:r w:rsidRPr="00D16865">
              <w:rPr>
                <w:rFonts w:cs="AdvPSA88A"/>
                <w:lang w:val="en-US"/>
              </w:rPr>
              <w:t>MCI subjects whose conversion to AD was not verified at another additional follow-up (i.e.</w:t>
            </w:r>
            <w:r w:rsidR="004C661D">
              <w:rPr>
                <w:rFonts w:cs="AdvPSA88A"/>
                <w:lang w:val="en-US"/>
              </w:rPr>
              <w:t>,</w:t>
            </w:r>
            <w:bookmarkStart w:id="0" w:name="_GoBack"/>
            <w:bookmarkEnd w:id="0"/>
            <w:r w:rsidRPr="00D16865">
              <w:rPr>
                <w:rFonts w:cs="AdvPSA88A"/>
                <w:lang w:val="en-US"/>
              </w:rPr>
              <w:t xml:space="preserve"> at least two consecutive visits being diagnosed </w:t>
            </w:r>
            <w:r w:rsidR="00502E64" w:rsidRPr="00D16865">
              <w:rPr>
                <w:rFonts w:cs="AdvPSA88A"/>
                <w:lang w:val="en-US"/>
              </w:rPr>
              <w:t>as AD and no reversion to MCI).</w:t>
            </w:r>
          </w:p>
        </w:tc>
      </w:tr>
      <w:tr w:rsidR="00A64D8D" w:rsidRPr="00D16865" w:rsidTr="0031616E">
        <w:tc>
          <w:tcPr>
            <w:tcW w:w="2771" w:type="dxa"/>
          </w:tcPr>
          <w:p w:rsidR="00A64D8D" w:rsidRPr="00D16865" w:rsidRDefault="00A64D8D" w:rsidP="006B0115">
            <w:pPr>
              <w:rPr>
                <w:b/>
                <w:lang w:val="en-US"/>
              </w:rPr>
            </w:pPr>
            <w:r w:rsidRPr="00D16865">
              <w:rPr>
                <w:b/>
                <w:lang w:val="en-US"/>
              </w:rPr>
              <w:t>Patient characteristics and settings</w:t>
            </w:r>
          </w:p>
        </w:tc>
        <w:tc>
          <w:tcPr>
            <w:tcW w:w="11177" w:type="dxa"/>
          </w:tcPr>
          <w:p w:rsidR="00A64D8D" w:rsidRPr="00D16865" w:rsidRDefault="00A64D8D" w:rsidP="006B0115">
            <w:pPr>
              <w:autoSpaceDE w:val="0"/>
              <w:autoSpaceDN w:val="0"/>
              <w:adjustRightInd w:val="0"/>
              <w:rPr>
                <w:rFonts w:cs="Times-Roman"/>
                <w:lang w:val="en-US"/>
              </w:rPr>
            </w:pPr>
            <w:r w:rsidRPr="00D16865">
              <w:rPr>
                <w:rFonts w:eastAsia="Times New Roman" w:cs="Arial"/>
                <w:lang w:val="en-US" w:eastAsia="en-GB"/>
              </w:rPr>
              <w:t>162 MCI participants</w:t>
            </w:r>
            <w:r w:rsidR="00CF6B8C" w:rsidRPr="00D16865">
              <w:rPr>
                <w:rFonts w:eastAsia="Times New Roman" w:cs="Arial"/>
                <w:lang w:val="en-US" w:eastAsia="en-GB"/>
              </w:rPr>
              <w:t xml:space="preserve"> diagnosed with the Petersen 2010 criteria who had </w:t>
            </w:r>
            <w:r w:rsidR="005725E7" w:rsidRPr="00D16865">
              <w:rPr>
                <w:rFonts w:cs="Arial"/>
                <w:vertAlign w:val="superscript"/>
                <w:lang w:val="en-US"/>
              </w:rPr>
              <w:t>18</w:t>
            </w:r>
            <w:r w:rsidR="005725E7" w:rsidRPr="00D16865">
              <w:rPr>
                <w:rFonts w:cs="Arial"/>
                <w:lang w:val="en-US"/>
              </w:rPr>
              <w:t xml:space="preserve">F-FDG PET </w:t>
            </w:r>
            <w:r w:rsidR="00CF6B8C" w:rsidRPr="00D16865">
              <w:rPr>
                <w:rFonts w:cs="AdvTT3713a231"/>
                <w:color w:val="131413"/>
                <w:lang w:val="en-US"/>
              </w:rPr>
              <w:t>scan at baseline</w:t>
            </w:r>
            <w:r w:rsidR="00CF6B8C" w:rsidRPr="00D16865">
              <w:rPr>
                <w:rFonts w:eastAsia="Times New Roman" w:cs="Arial"/>
                <w:lang w:val="en-US" w:eastAsia="en-GB"/>
              </w:rPr>
              <w:t xml:space="preserve">. At follow-up:  </w:t>
            </w:r>
            <w:r w:rsidRPr="00D16865">
              <w:rPr>
                <w:rFonts w:eastAsia="Times New Roman" w:cs="Arial"/>
                <w:lang w:val="en-US" w:eastAsia="en-GB"/>
              </w:rPr>
              <w:t>74 MCI-converters and 88 MCI-non-converters (Table 3, p708). Demographic characteristics are reported for 318 MCI participants: 150 MCI-converters and 168 MCI-non-converters (Table 1, p707).</w:t>
            </w:r>
          </w:p>
          <w:p w:rsidR="00A64D8D" w:rsidRPr="00D16865" w:rsidRDefault="00A64D8D" w:rsidP="006B0115">
            <w:pPr>
              <w:spacing w:after="120"/>
              <w:contextualSpacing/>
              <w:rPr>
                <w:rFonts w:eastAsia="Times New Roman" w:cs="Arial"/>
                <w:lang w:val="en-US" w:eastAsia="en-GB"/>
              </w:rPr>
            </w:pPr>
            <w:r w:rsidRPr="00D16865">
              <w:rPr>
                <w:rFonts w:eastAsia="Times New Roman" w:cs="Arial"/>
                <w:u w:val="single"/>
                <w:lang w:val="en-US" w:eastAsia="en-GB"/>
              </w:rPr>
              <w:t xml:space="preserve">Gender: </w:t>
            </w:r>
            <w:r w:rsidRPr="00D16865">
              <w:rPr>
                <w:rFonts w:eastAsia="Times New Roman" w:cs="Arial"/>
                <w:lang w:val="en-US" w:eastAsia="en-GB"/>
              </w:rPr>
              <w:t xml:space="preserve"> MCI converters: 60 women, 90</w:t>
            </w:r>
            <w:r w:rsidR="004C661D">
              <w:rPr>
                <w:rFonts w:eastAsia="Times New Roman" w:cs="Arial"/>
                <w:lang w:val="en-US" w:eastAsia="en-GB"/>
              </w:rPr>
              <w:t xml:space="preserve"> </w:t>
            </w:r>
            <w:r w:rsidRPr="00D16865">
              <w:rPr>
                <w:rFonts w:eastAsia="Times New Roman" w:cs="Arial"/>
                <w:lang w:val="en-US" w:eastAsia="en-GB"/>
              </w:rPr>
              <w:t>men; MCI non-converters: 59 women, 109 men</w:t>
            </w:r>
          </w:p>
          <w:p w:rsidR="00A64D8D" w:rsidRPr="00D16865" w:rsidRDefault="00A64D8D" w:rsidP="006B0115">
            <w:pPr>
              <w:spacing w:after="120"/>
              <w:contextualSpacing/>
              <w:rPr>
                <w:rFonts w:eastAsia="Times New Roman" w:cs="Arial"/>
                <w:lang w:val="en-US" w:eastAsia="en-GB"/>
              </w:rPr>
            </w:pPr>
            <w:r w:rsidRPr="00D16865">
              <w:rPr>
                <w:rFonts w:eastAsia="Times New Roman" w:cs="Arial"/>
                <w:u w:val="single"/>
                <w:lang w:val="en-US" w:eastAsia="en-GB"/>
              </w:rPr>
              <w:t>Age (y):</w:t>
            </w:r>
            <w:r w:rsidRPr="00D16865">
              <w:rPr>
                <w:rFonts w:eastAsia="Times New Roman" w:cs="Arial"/>
                <w:lang w:val="en-US" w:eastAsia="en-GB"/>
              </w:rPr>
              <w:t xml:space="preserve"> MCI converters 74.92±7.03; MCI non-converters 75.02±7.51 </w:t>
            </w:r>
          </w:p>
          <w:p w:rsidR="00A64D8D" w:rsidRPr="00D16865" w:rsidRDefault="00A64D8D" w:rsidP="006B0115">
            <w:pPr>
              <w:spacing w:after="120"/>
              <w:contextualSpacing/>
              <w:rPr>
                <w:rFonts w:eastAsia="Times New Roman" w:cs="Arial"/>
                <w:lang w:val="en-US" w:eastAsia="en-GB"/>
              </w:rPr>
            </w:pPr>
            <w:r w:rsidRPr="00D16865">
              <w:rPr>
                <w:rFonts w:eastAsia="Times New Roman" w:cs="Arial"/>
                <w:u w:val="single"/>
                <w:lang w:val="en-US" w:eastAsia="en-GB"/>
              </w:rPr>
              <w:t>APOE ε4 carrier:</w:t>
            </w:r>
            <w:r w:rsidRPr="00D16865">
              <w:rPr>
                <w:rFonts w:eastAsia="Times New Roman" w:cs="Arial"/>
                <w:lang w:val="en-US" w:eastAsia="en-GB"/>
              </w:rPr>
              <w:t xml:space="preserve"> MCI converters 96/150 (64%); MCI non-converters 70/168 42%)</w:t>
            </w:r>
          </w:p>
          <w:p w:rsidR="00A64D8D" w:rsidRPr="00D16865" w:rsidRDefault="00A64D8D" w:rsidP="006B0115">
            <w:pPr>
              <w:spacing w:after="120"/>
              <w:contextualSpacing/>
              <w:rPr>
                <w:rFonts w:eastAsia="Times New Roman" w:cs="Arial"/>
                <w:lang w:val="en-US" w:eastAsia="en-GB"/>
              </w:rPr>
            </w:pPr>
            <w:r w:rsidRPr="00D16865">
              <w:rPr>
                <w:rFonts w:eastAsia="Times New Roman" w:cs="Arial"/>
                <w:u w:val="single"/>
                <w:lang w:val="en-US" w:eastAsia="en-GB"/>
              </w:rPr>
              <w:t>MMSE:</w:t>
            </w:r>
            <w:r w:rsidRPr="00D16865">
              <w:rPr>
                <w:rFonts w:eastAsia="Times New Roman" w:cs="Arial"/>
                <w:lang w:val="en-US" w:eastAsia="en-GB"/>
              </w:rPr>
              <w:t xml:space="preserve"> MCI converters 15.63±12.91; MCI non-converters 15.77±3.11</w:t>
            </w:r>
          </w:p>
          <w:p w:rsidR="00A64D8D" w:rsidRPr="00D16865" w:rsidRDefault="00A64D8D" w:rsidP="006B0115">
            <w:pPr>
              <w:spacing w:after="120"/>
              <w:contextualSpacing/>
              <w:rPr>
                <w:rFonts w:eastAsia="Times New Roman" w:cs="Arial"/>
                <w:lang w:val="en-US" w:eastAsia="en-GB"/>
              </w:rPr>
            </w:pPr>
            <w:r w:rsidRPr="00D16865">
              <w:rPr>
                <w:rFonts w:eastAsia="Times New Roman" w:cs="Arial"/>
                <w:u w:val="single"/>
                <w:lang w:val="en-US" w:eastAsia="en-GB"/>
              </w:rPr>
              <w:t>Education (y):</w:t>
            </w:r>
            <w:r w:rsidRPr="00D16865">
              <w:rPr>
                <w:rFonts w:eastAsia="Times New Roman" w:cs="Arial"/>
                <w:lang w:val="en-US" w:eastAsia="en-GB"/>
              </w:rPr>
              <w:t xml:space="preserve"> MCI converters 16.3±2.6 (range 9-20</w:t>
            </w:r>
            <w:proofErr w:type="gramStart"/>
            <w:r w:rsidRPr="00D16865">
              <w:rPr>
                <w:rFonts w:eastAsia="Times New Roman" w:cs="Arial"/>
                <w:lang w:val="en-US" w:eastAsia="en-GB"/>
              </w:rPr>
              <w:t>) ;</w:t>
            </w:r>
            <w:proofErr w:type="gramEnd"/>
            <w:r w:rsidRPr="00D16865">
              <w:rPr>
                <w:rFonts w:eastAsia="Times New Roman" w:cs="Arial"/>
                <w:lang w:val="en-US" w:eastAsia="en-GB"/>
              </w:rPr>
              <w:t xml:space="preserve"> MCI non-converters 15.7±2.8 (range 8-20)</w:t>
            </w:r>
          </w:p>
          <w:p w:rsidR="00A64D8D" w:rsidRPr="00D16865" w:rsidRDefault="00A64D8D" w:rsidP="006B0115">
            <w:pPr>
              <w:spacing w:after="120"/>
              <w:contextualSpacing/>
              <w:rPr>
                <w:rFonts w:eastAsia="Times New Roman" w:cs="Arial"/>
                <w:lang w:val="en-US" w:eastAsia="en-GB"/>
              </w:rPr>
            </w:pPr>
            <w:r w:rsidRPr="00D16865">
              <w:rPr>
                <w:rFonts w:eastAsia="Times New Roman" w:cs="Arial"/>
                <w:u w:val="single"/>
                <w:lang w:val="en-US" w:eastAsia="en-GB"/>
              </w:rPr>
              <w:t>Sources of referral:</w:t>
            </w:r>
            <w:r w:rsidRPr="00D16865">
              <w:rPr>
                <w:rFonts w:eastAsia="Times New Roman" w:cs="Arial"/>
                <w:lang w:val="en-US" w:eastAsia="en-GB"/>
              </w:rPr>
              <w:t xml:space="preserve"> not reported</w:t>
            </w:r>
          </w:p>
          <w:p w:rsidR="00A64D8D" w:rsidRPr="00D16865" w:rsidRDefault="00A64D8D" w:rsidP="00502E64">
            <w:pPr>
              <w:spacing w:after="120"/>
              <w:contextualSpacing/>
              <w:rPr>
                <w:rFonts w:eastAsia="Times New Roman" w:cs="Arial"/>
                <w:lang w:val="en-US" w:eastAsia="en-GB"/>
              </w:rPr>
            </w:pPr>
            <w:r w:rsidRPr="00D16865">
              <w:rPr>
                <w:rFonts w:eastAsia="Times New Roman" w:cs="Arial"/>
                <w:u w:val="single"/>
                <w:lang w:val="en-US" w:eastAsia="en-GB"/>
              </w:rPr>
              <w:t>Setting:</w:t>
            </w:r>
            <w:r w:rsidRPr="00D16865">
              <w:rPr>
                <w:rFonts w:eastAsia="Times New Roman" w:cs="Arial"/>
                <w:lang w:val="en-US" w:eastAsia="en-GB"/>
              </w:rPr>
              <w:t xml:space="preserve"> </w:t>
            </w:r>
            <w:r w:rsidR="004C661D" w:rsidRPr="00D16865">
              <w:rPr>
                <w:rFonts w:eastAsia="Times New Roman" w:cs="Arial"/>
                <w:lang w:val="en-US" w:eastAsia="en-GB"/>
              </w:rPr>
              <w:t>multicenter</w:t>
            </w:r>
          </w:p>
        </w:tc>
      </w:tr>
      <w:tr w:rsidR="00A64D8D" w:rsidRPr="00D16865" w:rsidTr="0031616E">
        <w:tc>
          <w:tcPr>
            <w:tcW w:w="2771" w:type="dxa"/>
          </w:tcPr>
          <w:p w:rsidR="00A64D8D" w:rsidRPr="00D16865" w:rsidRDefault="00A64D8D" w:rsidP="006B0115">
            <w:pPr>
              <w:rPr>
                <w:b/>
                <w:lang w:val="en-US"/>
              </w:rPr>
            </w:pPr>
            <w:r w:rsidRPr="00D16865">
              <w:rPr>
                <w:b/>
                <w:lang w:val="en-US"/>
              </w:rPr>
              <w:t>Index test</w:t>
            </w:r>
          </w:p>
        </w:tc>
        <w:tc>
          <w:tcPr>
            <w:tcW w:w="11177" w:type="dxa"/>
          </w:tcPr>
          <w:p w:rsidR="00A64D8D" w:rsidRPr="00D16865" w:rsidRDefault="005725E7" w:rsidP="006B0115">
            <w:pPr>
              <w:rPr>
                <w:rFonts w:cs="Times-Roman"/>
                <w:lang w:val="en-US"/>
              </w:rPr>
            </w:pPr>
            <w:r w:rsidRPr="00D16865">
              <w:rPr>
                <w:rFonts w:cs="Arial"/>
                <w:vertAlign w:val="superscript"/>
                <w:lang w:val="en-US"/>
              </w:rPr>
              <w:t>18</w:t>
            </w:r>
            <w:r w:rsidRPr="00D16865">
              <w:rPr>
                <w:rFonts w:cs="Arial"/>
                <w:lang w:val="en-US"/>
              </w:rPr>
              <w:t xml:space="preserve">F-FDG PET </w:t>
            </w:r>
            <w:r w:rsidR="00A64D8D" w:rsidRPr="00D16865">
              <w:rPr>
                <w:rFonts w:cs="Times-Roman"/>
                <w:lang w:val="en-US"/>
              </w:rPr>
              <w:t>scan</w:t>
            </w:r>
          </w:p>
          <w:p w:rsidR="00502E64" w:rsidRPr="00D16865" w:rsidRDefault="00502E64" w:rsidP="006B0115">
            <w:pPr>
              <w:rPr>
                <w:rFonts w:cs="Times-Roman"/>
                <w:lang w:val="en-US"/>
              </w:rPr>
            </w:pPr>
            <w:r w:rsidRPr="00D16865">
              <w:rPr>
                <w:rFonts w:cs="Times-Roman"/>
                <w:u w:val="single"/>
                <w:lang w:val="en-US"/>
              </w:rPr>
              <w:t>Acquisition</w:t>
            </w:r>
          </w:p>
          <w:p w:rsidR="00502E64" w:rsidRPr="00D16865" w:rsidRDefault="00502E64" w:rsidP="006B0115">
            <w:pPr>
              <w:rPr>
                <w:rFonts w:cs="Times-Roman"/>
                <w:lang w:val="en-US"/>
              </w:rPr>
            </w:pPr>
            <w:r w:rsidRPr="00D16865">
              <w:rPr>
                <w:rFonts w:cs="Times-Roman"/>
                <w:lang w:val="en-US"/>
              </w:rPr>
              <w:t xml:space="preserve">Not described. </w:t>
            </w:r>
            <w:r w:rsidR="005725E7" w:rsidRPr="00D16865">
              <w:rPr>
                <w:rFonts w:cs="Arial"/>
                <w:vertAlign w:val="superscript"/>
                <w:lang w:val="en-US"/>
              </w:rPr>
              <w:t>18</w:t>
            </w:r>
            <w:r w:rsidR="005725E7" w:rsidRPr="00D16865">
              <w:rPr>
                <w:rFonts w:cs="Arial"/>
                <w:lang w:val="en-US"/>
              </w:rPr>
              <w:t xml:space="preserve">F-FDG PET </w:t>
            </w:r>
            <w:r w:rsidRPr="00D16865">
              <w:rPr>
                <w:rFonts w:cs="Times-Roman"/>
                <w:lang w:val="en-US"/>
              </w:rPr>
              <w:t>scan data are provided by ADNI.</w:t>
            </w:r>
          </w:p>
          <w:p w:rsidR="00502E64" w:rsidRPr="00D16865" w:rsidRDefault="00502E64" w:rsidP="006B0115">
            <w:pPr>
              <w:rPr>
                <w:rFonts w:cs="Times-Roman"/>
                <w:u w:val="single"/>
                <w:lang w:val="en-US"/>
              </w:rPr>
            </w:pPr>
            <w:r w:rsidRPr="00D16865">
              <w:rPr>
                <w:rFonts w:cs="Times-Roman"/>
                <w:u w:val="single"/>
                <w:lang w:val="en-US"/>
              </w:rPr>
              <w:t>Data analysis</w:t>
            </w:r>
          </w:p>
          <w:p w:rsidR="00A64D8D" w:rsidRPr="00D16865" w:rsidRDefault="00A64D8D" w:rsidP="006B0115">
            <w:pPr>
              <w:autoSpaceDE w:val="0"/>
              <w:autoSpaceDN w:val="0"/>
              <w:adjustRightInd w:val="0"/>
              <w:rPr>
                <w:u w:val="single"/>
                <w:lang w:val="en-US"/>
              </w:rPr>
            </w:pPr>
            <w:r w:rsidRPr="00D16865">
              <w:rPr>
                <w:rFonts w:cs="AdvPSA88A"/>
                <w:color w:val="000000"/>
                <w:lang w:val="en-US"/>
              </w:rPr>
              <w:t>A voxel wise</w:t>
            </w:r>
            <w:r w:rsidR="00502E64" w:rsidRPr="00D16865">
              <w:rPr>
                <w:rFonts w:cs="AdvPSA88A"/>
                <w:color w:val="000000"/>
                <w:lang w:val="en-US"/>
              </w:rPr>
              <w:t xml:space="preserve"> approach; </w:t>
            </w:r>
            <w:r w:rsidRPr="00D16865">
              <w:rPr>
                <w:rFonts w:cs="AdvPSA88A"/>
                <w:color w:val="000000"/>
                <w:lang w:val="en-US"/>
              </w:rPr>
              <w:t>the HC</w:t>
            </w:r>
            <w:r w:rsidR="009F1533" w:rsidRPr="00D16865">
              <w:rPr>
                <w:rFonts w:cs="AdvPSA88A"/>
                <w:color w:val="000000"/>
                <w:lang w:val="en-US"/>
              </w:rPr>
              <w:t>I</w:t>
            </w:r>
            <w:r w:rsidR="00502E64" w:rsidRPr="00D16865">
              <w:rPr>
                <w:rFonts w:cs="AdvPSA88A"/>
                <w:color w:val="000000"/>
                <w:lang w:val="en-US"/>
              </w:rPr>
              <w:t xml:space="preserve"> </w:t>
            </w:r>
            <w:r w:rsidRPr="00D16865">
              <w:rPr>
                <w:rFonts w:cs="AdvPSA88A"/>
                <w:color w:val="000000"/>
                <w:lang w:val="en-US"/>
              </w:rPr>
              <w:t>was used. This is a single measure intended to reflect the extent to which the pattern and magnitude of cerebral hypometabolism in an individual correspond to that in probable AD patients.   A specified reconstruction algorithm for each scanner type was implemented according to a standardized protocol to acquire FDG-PET data (</w:t>
            </w:r>
            <w:r w:rsidR="004C661D">
              <w:rPr>
                <w:rFonts w:cs="AdvPSA88A"/>
                <w:color w:val="000000"/>
                <w:lang w:val="en-US"/>
              </w:rPr>
              <w:t>http://</w:t>
            </w:r>
            <w:r w:rsidRPr="004C661D">
              <w:rPr>
                <w:rFonts w:cs="AdvPSA88A"/>
                <w:color w:val="000000" w:themeColor="text1"/>
                <w:lang w:val="en-US"/>
              </w:rPr>
              <w:t>www.loni.ucla.edu/ADNI/Data/ADNI_Data.shtml</w:t>
            </w:r>
            <w:r w:rsidRPr="00D16865">
              <w:rPr>
                <w:rFonts w:cs="AdvPSA88A"/>
                <w:color w:val="000000"/>
                <w:lang w:val="en-US"/>
              </w:rPr>
              <w:t>). All images were pre</w:t>
            </w:r>
            <w:r w:rsidR="00C57FB5" w:rsidRPr="00D16865">
              <w:rPr>
                <w:rFonts w:cs="AdvPSA88A"/>
                <w:color w:val="000000"/>
                <w:lang w:val="en-US"/>
              </w:rPr>
              <w:t>-</w:t>
            </w:r>
            <w:r w:rsidRPr="00D16865">
              <w:rPr>
                <w:rFonts w:cs="AdvPSA88A"/>
                <w:color w:val="000000"/>
                <w:lang w:val="en-US"/>
              </w:rPr>
              <w:t>processed by the</w:t>
            </w:r>
            <w:r w:rsidR="00C57FB5" w:rsidRPr="00D16865">
              <w:rPr>
                <w:rFonts w:cs="AdvPSA88A"/>
                <w:color w:val="000000"/>
                <w:lang w:val="en-US"/>
              </w:rPr>
              <w:t xml:space="preserve"> </w:t>
            </w:r>
            <w:r w:rsidRPr="00D16865">
              <w:rPr>
                <w:rFonts w:cs="AdvPSA88A"/>
                <w:color w:val="000000"/>
                <w:lang w:val="en-US"/>
              </w:rPr>
              <w:t xml:space="preserve">ADNI positron </w:t>
            </w:r>
            <w:r w:rsidRPr="00D16865">
              <w:rPr>
                <w:rFonts w:cs="AdvPSA88A"/>
                <w:color w:val="000000"/>
                <w:lang w:val="en-US"/>
              </w:rPr>
              <w:lastRenderedPageBreak/>
              <w:t>emission tomography (PET) coordinating center. The processing involved a voxel</w:t>
            </w:r>
            <w:r w:rsidR="00C57FB5" w:rsidRPr="00D16865">
              <w:rPr>
                <w:rFonts w:cs="AdvPSA88A"/>
                <w:color w:val="000000"/>
                <w:lang w:val="en-US"/>
              </w:rPr>
              <w:t xml:space="preserve"> </w:t>
            </w:r>
            <w:r w:rsidRPr="00D16865">
              <w:rPr>
                <w:rFonts w:cs="AdvPSA88A"/>
                <w:color w:val="000000"/>
                <w:lang w:val="en-US"/>
              </w:rPr>
              <w:t xml:space="preserve">wise approach to </w:t>
            </w:r>
            <w:r w:rsidR="004C661D" w:rsidRPr="00D16865">
              <w:rPr>
                <w:rFonts w:cs="AdvPSA88A"/>
                <w:color w:val="000000"/>
                <w:lang w:val="en-US"/>
              </w:rPr>
              <w:t>analyze</w:t>
            </w:r>
            <w:r w:rsidRPr="00D16865">
              <w:rPr>
                <w:rFonts w:cs="AdvPSA88A"/>
                <w:color w:val="000000"/>
                <w:lang w:val="en-US"/>
              </w:rPr>
              <w:t xml:space="preserve"> the data using statistical parametric mapping (SPM) performed by the Banner Alzheimer’s Institute. </w:t>
            </w:r>
          </w:p>
          <w:p w:rsidR="00A64D8D" w:rsidRPr="00D16865" w:rsidRDefault="00C57FB5" w:rsidP="006B0115">
            <w:pPr>
              <w:rPr>
                <w:u w:val="single"/>
                <w:lang w:val="en-US"/>
              </w:rPr>
            </w:pPr>
            <w:r w:rsidRPr="00D16865">
              <w:rPr>
                <w:u w:val="single"/>
                <w:lang w:val="en-US"/>
              </w:rPr>
              <w:t>Threshold: not reported</w:t>
            </w:r>
          </w:p>
        </w:tc>
      </w:tr>
      <w:tr w:rsidR="00A64D8D" w:rsidRPr="00D16865" w:rsidTr="0031616E">
        <w:tc>
          <w:tcPr>
            <w:tcW w:w="2771" w:type="dxa"/>
          </w:tcPr>
          <w:p w:rsidR="00A64D8D" w:rsidRPr="00D16865" w:rsidRDefault="00A64D8D" w:rsidP="006B0115">
            <w:pPr>
              <w:rPr>
                <w:b/>
                <w:lang w:val="en-US"/>
              </w:rPr>
            </w:pPr>
            <w:r w:rsidRPr="00D16865">
              <w:rPr>
                <w:b/>
                <w:lang w:val="en-US"/>
              </w:rPr>
              <w:lastRenderedPageBreak/>
              <w:t>Target condition</w:t>
            </w:r>
          </w:p>
        </w:tc>
        <w:tc>
          <w:tcPr>
            <w:tcW w:w="11177" w:type="dxa"/>
          </w:tcPr>
          <w:p w:rsidR="00A64D8D" w:rsidRPr="00D16865" w:rsidRDefault="00A64D8D" w:rsidP="006B0115">
            <w:pPr>
              <w:contextualSpacing/>
              <w:rPr>
                <w:lang w:val="en-US"/>
              </w:rPr>
            </w:pPr>
            <w:r w:rsidRPr="00D16865">
              <w:rPr>
                <w:lang w:val="en-US"/>
              </w:rPr>
              <w:t>Target condition: conversion from MCI to Alzheimer’s disease dementia</w:t>
            </w:r>
          </w:p>
          <w:p w:rsidR="00A64D8D" w:rsidRPr="00D16865" w:rsidRDefault="00A64D8D" w:rsidP="006B0115">
            <w:pPr>
              <w:rPr>
                <w:lang w:val="en-US"/>
              </w:rPr>
            </w:pPr>
            <w:r w:rsidRPr="00D16865">
              <w:rPr>
                <w:lang w:val="en-US"/>
              </w:rPr>
              <w:t xml:space="preserve">Reference standard: </w:t>
            </w:r>
            <w:r w:rsidRPr="00D16865">
              <w:rPr>
                <w:rFonts w:eastAsia="Times New Roman" w:cs="Arial"/>
                <w:lang w:val="en-US" w:eastAsia="en-GB"/>
              </w:rPr>
              <w:t>not reported</w:t>
            </w:r>
          </w:p>
        </w:tc>
      </w:tr>
      <w:tr w:rsidR="00A64D8D" w:rsidRPr="00D16865" w:rsidTr="0031616E">
        <w:tc>
          <w:tcPr>
            <w:tcW w:w="2771" w:type="dxa"/>
          </w:tcPr>
          <w:p w:rsidR="00A64D8D" w:rsidRPr="00D16865" w:rsidRDefault="00A64D8D" w:rsidP="006B0115">
            <w:pPr>
              <w:rPr>
                <w:b/>
                <w:lang w:val="en-US"/>
              </w:rPr>
            </w:pPr>
            <w:r w:rsidRPr="00D16865">
              <w:rPr>
                <w:b/>
                <w:lang w:val="en-US"/>
              </w:rPr>
              <w:t>Flow and timing</w:t>
            </w:r>
          </w:p>
        </w:tc>
        <w:tc>
          <w:tcPr>
            <w:tcW w:w="11177" w:type="dxa"/>
          </w:tcPr>
          <w:p w:rsidR="00A64D8D" w:rsidRPr="00D16865" w:rsidRDefault="00A64D8D" w:rsidP="006B0115">
            <w:pPr>
              <w:autoSpaceDE w:val="0"/>
              <w:autoSpaceDN w:val="0"/>
              <w:adjustRightInd w:val="0"/>
              <w:rPr>
                <w:rFonts w:cs="AdvPSA88A"/>
                <w:lang w:val="en-US"/>
              </w:rPr>
            </w:pPr>
            <w:r w:rsidRPr="00D16865">
              <w:rPr>
                <w:rFonts w:cs="Arial"/>
                <w:lang w:val="en-US"/>
              </w:rPr>
              <w:t xml:space="preserve">Duration of follow-up: 4 years </w:t>
            </w:r>
            <w:r w:rsidRPr="00D16865">
              <w:rPr>
                <w:rFonts w:cs="AdvPSA88A"/>
                <w:lang w:val="en-US"/>
              </w:rPr>
              <w:t>(mean follow-up time 33.28 months; range 7.26–61.44; mean time until conversion 20.44 months; range 5.75–52.63).</w:t>
            </w:r>
          </w:p>
          <w:p w:rsidR="00A64D8D" w:rsidRPr="00D16865" w:rsidRDefault="00A64D8D" w:rsidP="006B0115">
            <w:pPr>
              <w:autoSpaceDE w:val="0"/>
              <w:autoSpaceDN w:val="0"/>
              <w:adjustRightInd w:val="0"/>
              <w:rPr>
                <w:rFonts w:eastAsia="Times New Roman" w:cs="Arial"/>
                <w:lang w:val="en-US" w:eastAsia="en-GB"/>
              </w:rPr>
            </w:pPr>
            <w:r w:rsidRPr="00D16865">
              <w:rPr>
                <w:rFonts w:eastAsia="Times New Roman" w:cs="Arial"/>
                <w:u w:val="single"/>
                <w:lang w:val="en-US" w:eastAsia="en-GB"/>
              </w:rPr>
              <w:t>Number included in analysis (</w:t>
            </w:r>
            <w:r w:rsidRPr="00D16865">
              <w:rPr>
                <w:rFonts w:eastAsia="Times New Roman" w:cs="Arial"/>
                <w:b/>
                <w:u w:val="single"/>
                <w:lang w:val="en-US" w:eastAsia="en-GB"/>
              </w:rPr>
              <w:t>N=162</w:t>
            </w:r>
            <w:r w:rsidRPr="00D16865">
              <w:rPr>
                <w:rFonts w:eastAsia="Times New Roman" w:cs="Arial"/>
                <w:u w:val="single"/>
                <w:lang w:val="en-US" w:eastAsia="en-GB"/>
              </w:rPr>
              <w:t>)</w:t>
            </w:r>
          </w:p>
          <w:p w:rsidR="00502E64" w:rsidRPr="00D16865" w:rsidRDefault="00502E64" w:rsidP="006B0115">
            <w:pPr>
              <w:autoSpaceDE w:val="0"/>
              <w:autoSpaceDN w:val="0"/>
              <w:adjustRightInd w:val="0"/>
              <w:rPr>
                <w:rFonts w:eastAsia="Times New Roman" w:cs="Arial"/>
                <w:lang w:val="en-US" w:eastAsia="en-GB"/>
              </w:rPr>
            </w:pPr>
            <w:r w:rsidRPr="00D16865">
              <w:rPr>
                <w:rFonts w:eastAsia="Times New Roman" w:cs="Arial"/>
                <w:lang w:val="en-US" w:eastAsia="en-GB"/>
              </w:rPr>
              <w:t>Conversion to AD</w:t>
            </w:r>
          </w:p>
          <w:p w:rsidR="00A64D8D" w:rsidRPr="00D16865" w:rsidRDefault="00A64D8D" w:rsidP="006B0115">
            <w:pPr>
              <w:autoSpaceDE w:val="0"/>
              <w:autoSpaceDN w:val="0"/>
              <w:adjustRightInd w:val="0"/>
              <w:rPr>
                <w:rFonts w:cs="AdvTT3713a231"/>
                <w:color w:val="131413"/>
                <w:lang w:val="en-US"/>
              </w:rPr>
            </w:pPr>
            <w:r w:rsidRPr="00D16865">
              <w:rPr>
                <w:rFonts w:eastAsia="Times New Roman" w:cs="Arial"/>
                <w:lang w:val="en-US" w:eastAsia="en-GB"/>
              </w:rPr>
              <w:t>At follow-up: 74 MCI-AD (disease positive); 88 MCI-MCI (disease negative) (table 3, p708)</w:t>
            </w:r>
          </w:p>
          <w:p w:rsidR="00A64D8D" w:rsidRPr="00D16865" w:rsidRDefault="00A64D8D" w:rsidP="006B0115">
            <w:pPr>
              <w:autoSpaceDE w:val="0"/>
              <w:autoSpaceDN w:val="0"/>
              <w:adjustRightInd w:val="0"/>
              <w:rPr>
                <w:rFonts w:cs="AdvTT3713a231"/>
                <w:color w:val="131413"/>
                <w:lang w:val="en-US"/>
              </w:rPr>
            </w:pPr>
            <w:r w:rsidRPr="00D16865">
              <w:rPr>
                <w:rFonts w:cs="AdvTT3713a231"/>
                <w:color w:val="131413"/>
                <w:lang w:val="en-US"/>
              </w:rPr>
              <w:t>AUC=0.70 (Table 4, p709)</w:t>
            </w:r>
          </w:p>
          <w:p w:rsidR="00135B28" w:rsidRPr="00D16865" w:rsidRDefault="00135B28" w:rsidP="00135B28">
            <w:pPr>
              <w:autoSpaceDE w:val="0"/>
              <w:autoSpaceDN w:val="0"/>
              <w:adjustRightInd w:val="0"/>
              <w:rPr>
                <w:rFonts w:cs="AdvTT3713a231"/>
                <w:color w:val="131413"/>
                <w:lang w:val="en-US"/>
              </w:rPr>
            </w:pPr>
            <w:r w:rsidRPr="00D16865">
              <w:rPr>
                <w:rFonts w:cs="AdvPSA88A"/>
                <w:lang w:val="en-US"/>
              </w:rPr>
              <w:t>Sensitivity=47</w:t>
            </w:r>
            <w:r w:rsidRPr="00D16865">
              <w:rPr>
                <w:rFonts w:cs="AdvPSA88A"/>
                <w:b/>
                <w:lang w:val="en-US"/>
              </w:rPr>
              <w:t>%</w:t>
            </w:r>
            <w:r w:rsidRPr="00D16865">
              <w:rPr>
                <w:rFonts w:cs="AdvPSA88A"/>
                <w:lang w:val="en-US"/>
              </w:rPr>
              <w:t>; specificity=73%</w:t>
            </w:r>
            <w:r w:rsidRPr="00D16865">
              <w:rPr>
                <w:rFonts w:cs="AdvPSA88A"/>
                <w:b/>
                <w:lang w:val="en-US"/>
              </w:rPr>
              <w:t xml:space="preserve"> </w:t>
            </w:r>
            <w:r w:rsidRPr="00D16865">
              <w:rPr>
                <w:rFonts w:cs="AdvPSA88A"/>
                <w:lang w:val="en-US"/>
              </w:rPr>
              <w:t xml:space="preserve">at 0.50 probability level for </w:t>
            </w:r>
            <w:r w:rsidR="005725E7" w:rsidRPr="00D16865">
              <w:rPr>
                <w:rFonts w:cs="Arial"/>
                <w:vertAlign w:val="superscript"/>
                <w:lang w:val="en-US"/>
              </w:rPr>
              <w:t>18</w:t>
            </w:r>
            <w:r w:rsidR="005725E7" w:rsidRPr="00D16865">
              <w:rPr>
                <w:rFonts w:cs="Arial"/>
                <w:lang w:val="en-US"/>
              </w:rPr>
              <w:t xml:space="preserve">F-FDG PET </w:t>
            </w:r>
            <w:r w:rsidRPr="00D16865">
              <w:rPr>
                <w:lang w:val="en-US"/>
              </w:rPr>
              <w:t>alone using the HCI.</w:t>
            </w:r>
          </w:p>
          <w:p w:rsidR="00A64D8D" w:rsidRPr="00D16865" w:rsidRDefault="00C57FB5" w:rsidP="00135B28">
            <w:pPr>
              <w:autoSpaceDE w:val="0"/>
              <w:autoSpaceDN w:val="0"/>
              <w:adjustRightInd w:val="0"/>
              <w:rPr>
                <w:rFonts w:cs="Arial"/>
                <w:lang w:val="en-US"/>
              </w:rPr>
            </w:pPr>
            <w:r w:rsidRPr="00D16865">
              <w:rPr>
                <w:rFonts w:cs="Arial"/>
                <w:lang w:val="en-US"/>
              </w:rPr>
              <w:t>TP=35; FP=24; FN=39; TN=64 (Calculated in RevMan5)</w:t>
            </w:r>
          </w:p>
        </w:tc>
      </w:tr>
      <w:tr w:rsidR="00A64D8D" w:rsidRPr="00D16865" w:rsidTr="0031616E">
        <w:tc>
          <w:tcPr>
            <w:tcW w:w="13948" w:type="dxa"/>
            <w:gridSpan w:val="2"/>
          </w:tcPr>
          <w:p w:rsidR="00284F24" w:rsidRPr="00D16865" w:rsidRDefault="00A64D8D" w:rsidP="00A64D8D">
            <w:pPr>
              <w:rPr>
                <w:b/>
                <w:lang w:val="en-US"/>
              </w:rPr>
            </w:pPr>
            <w:r w:rsidRPr="00D16865">
              <w:rPr>
                <w:b/>
                <w:lang w:val="en-US"/>
              </w:rPr>
              <w:t>Note</w:t>
            </w:r>
            <w:r w:rsidR="00284F24" w:rsidRPr="00D16865">
              <w:rPr>
                <w:b/>
                <w:lang w:val="en-US"/>
              </w:rPr>
              <w:t>s</w:t>
            </w:r>
          </w:p>
          <w:p w:rsidR="00A64D8D" w:rsidRPr="00D16865" w:rsidRDefault="00135B28" w:rsidP="00A64D8D">
            <w:pPr>
              <w:rPr>
                <w:rFonts w:cs="AdvPSA88A"/>
                <w:lang w:val="en-US"/>
              </w:rPr>
            </w:pPr>
            <w:r w:rsidRPr="00D16865">
              <w:rPr>
                <w:rFonts w:cs="AdvPSA88A"/>
                <w:lang w:val="en-US"/>
              </w:rPr>
              <w:t>The author contacted and provided</w:t>
            </w:r>
            <w:r w:rsidR="00C57FB5" w:rsidRPr="00D16865">
              <w:rPr>
                <w:rFonts w:cs="AdvPSA88A"/>
                <w:lang w:val="en-US"/>
              </w:rPr>
              <w:t xml:space="preserve"> </w:t>
            </w:r>
            <w:r w:rsidRPr="00D16865">
              <w:rPr>
                <w:rFonts w:cs="AdvPSA88A"/>
                <w:lang w:val="en-US"/>
              </w:rPr>
              <w:t>a ‘Classification Table’</w:t>
            </w:r>
            <w:r w:rsidR="00C57FB5" w:rsidRPr="00D16865">
              <w:rPr>
                <w:rFonts w:cs="AdvPSA88A"/>
                <w:lang w:val="en-US"/>
              </w:rPr>
              <w:t xml:space="preserve"> (Dr</w:t>
            </w:r>
            <w:r w:rsidR="004C661D">
              <w:rPr>
                <w:rFonts w:cs="AdvPSA88A"/>
                <w:lang w:val="en-US"/>
              </w:rPr>
              <w:t>.</w:t>
            </w:r>
            <w:r w:rsidR="00C57FB5" w:rsidRPr="00D16865">
              <w:rPr>
                <w:rFonts w:cs="AdvPSA88A"/>
                <w:lang w:val="en-US"/>
              </w:rPr>
              <w:t xml:space="preserve"> </w:t>
            </w:r>
            <w:proofErr w:type="spellStart"/>
            <w:r w:rsidR="00C57FB5" w:rsidRPr="00D16865">
              <w:rPr>
                <w:rFonts w:cs="AdvPSA88A"/>
                <w:lang w:val="en-US"/>
              </w:rPr>
              <w:t>Gomar’s</w:t>
            </w:r>
            <w:proofErr w:type="spellEnd"/>
            <w:r w:rsidR="00C57FB5" w:rsidRPr="00D16865">
              <w:rPr>
                <w:rFonts w:cs="AdvPSA88A"/>
                <w:lang w:val="en-US"/>
              </w:rPr>
              <w:t xml:space="preserve"> email on 30/3/2016)</w:t>
            </w:r>
            <w:r w:rsidRPr="00D16865">
              <w:rPr>
                <w:rFonts w:cs="AdvPSA88A"/>
                <w:lang w:val="en-US"/>
              </w:rPr>
              <w:t>, which shows a range of ‘sensitivity’ and ‘specificity’ values at different probability levels’</w:t>
            </w:r>
          </w:p>
          <w:p w:rsidR="005F7A97" w:rsidRPr="00D16865" w:rsidRDefault="00674E97" w:rsidP="00A64D8D">
            <w:pPr>
              <w:contextualSpacing/>
              <w:rPr>
                <w:lang w:val="en-US"/>
              </w:rPr>
            </w:pPr>
            <w:r w:rsidRPr="00D16865">
              <w:rPr>
                <w:b/>
                <w:lang w:val="en-US"/>
              </w:rPr>
              <w:t>Objective</w:t>
            </w:r>
            <w:r w:rsidR="005F7A97" w:rsidRPr="00D16865">
              <w:rPr>
                <w:b/>
                <w:lang w:val="en-US"/>
              </w:rPr>
              <w:t>:</w:t>
            </w:r>
            <w:r w:rsidR="005F7A97" w:rsidRPr="00D16865">
              <w:rPr>
                <w:lang w:val="en-US"/>
              </w:rPr>
              <w:t xml:space="preserve"> to examine the predictive value of different markers in the progression from MCI to AD over 4-year follow-up, and to derive and validate a model for prediction.</w:t>
            </w:r>
          </w:p>
          <w:p w:rsidR="009B25F0" w:rsidRPr="00D16865" w:rsidRDefault="005F7A97" w:rsidP="00135B28">
            <w:pPr>
              <w:autoSpaceDE w:val="0"/>
              <w:autoSpaceDN w:val="0"/>
              <w:adjustRightInd w:val="0"/>
              <w:rPr>
                <w:b/>
                <w:lang w:val="en-US"/>
              </w:rPr>
            </w:pPr>
            <w:r w:rsidRPr="00D16865">
              <w:rPr>
                <w:b/>
                <w:lang w:val="en-US"/>
              </w:rPr>
              <w:t>Conclusion</w:t>
            </w:r>
          </w:p>
          <w:p w:rsidR="00A64D8D" w:rsidRPr="00D16865" w:rsidRDefault="009B25F0" w:rsidP="00B473EF">
            <w:pPr>
              <w:autoSpaceDE w:val="0"/>
              <w:autoSpaceDN w:val="0"/>
              <w:adjustRightInd w:val="0"/>
              <w:rPr>
                <w:rFonts w:cs="AdvPSA88A"/>
                <w:lang w:val="en-US"/>
              </w:rPr>
            </w:pPr>
            <w:r w:rsidRPr="00D16865">
              <w:rPr>
                <w:rFonts w:cs="AdvPSA88A"/>
                <w:lang w:val="en-US"/>
              </w:rPr>
              <w:t>“</w:t>
            </w:r>
            <w:r w:rsidR="00A64D8D" w:rsidRPr="00D16865">
              <w:rPr>
                <w:rFonts w:cs="AdvPSA88A"/>
                <w:lang w:val="en-US"/>
              </w:rPr>
              <w:t>Cognitive markers were more robust predictors than biomarkers.</w:t>
            </w:r>
            <w:r w:rsidRPr="00D16865">
              <w:rPr>
                <w:rFonts w:cs="AdvPSA88A"/>
                <w:lang w:val="en-US"/>
              </w:rPr>
              <w:t xml:space="preserve"> </w:t>
            </w:r>
            <w:r w:rsidR="00B473EF" w:rsidRPr="00D16865">
              <w:rPr>
                <w:rFonts w:cs="AdvPSA88A"/>
                <w:lang w:val="en-US"/>
              </w:rPr>
              <w:t xml:space="preserve"> The study highlights the importance of cognitive measures in progression from MCI to AD at 4 years of follow-up as they were found to be at 2 years of follow-up…</w:t>
            </w:r>
            <w:r w:rsidR="00A64D8D" w:rsidRPr="00D16865">
              <w:rPr>
                <w:rFonts w:cs="AdvPSA88A"/>
                <w:lang w:val="en-US"/>
              </w:rPr>
              <w:t xml:space="preserve"> The HCI index of </w:t>
            </w:r>
            <w:r w:rsidR="005725E7" w:rsidRPr="00D16865">
              <w:rPr>
                <w:rFonts w:cs="Arial"/>
                <w:vertAlign w:val="superscript"/>
                <w:lang w:val="en-US"/>
              </w:rPr>
              <w:t>18</w:t>
            </w:r>
            <w:r w:rsidR="005725E7" w:rsidRPr="00D16865">
              <w:rPr>
                <w:rFonts w:cs="Arial"/>
                <w:lang w:val="en-US"/>
              </w:rPr>
              <w:t xml:space="preserve">F-FDG PET </w:t>
            </w:r>
            <w:r w:rsidR="00A64D8D" w:rsidRPr="00D16865">
              <w:rPr>
                <w:rFonts w:cs="AdvPSA88A"/>
                <w:lang w:val="en-US"/>
              </w:rPr>
              <w:t>at baseline was also predictive of conversio</w:t>
            </w:r>
            <w:r w:rsidR="00135B28" w:rsidRPr="00D16865">
              <w:rPr>
                <w:rFonts w:cs="AdvPSA88A"/>
                <w:lang w:val="en-US"/>
              </w:rPr>
              <w:t>n to MCI in a univariate model</w:t>
            </w:r>
            <w:r w:rsidR="00B473EF" w:rsidRPr="00D16865">
              <w:rPr>
                <w:rFonts w:cs="AdvPSA88A"/>
                <w:lang w:val="en-US"/>
              </w:rPr>
              <w:t>”</w:t>
            </w:r>
            <w:r w:rsidR="00135B28" w:rsidRPr="00D16865">
              <w:rPr>
                <w:rFonts w:cs="AdvPSA88A"/>
                <w:lang w:val="en-US"/>
              </w:rPr>
              <w:t>.</w:t>
            </w:r>
            <w:r w:rsidRPr="00D16865">
              <w:rPr>
                <w:rFonts w:cs="AdvPSA88A"/>
                <w:lang w:val="en-US"/>
              </w:rPr>
              <w:t xml:space="preserve"> </w:t>
            </w:r>
          </w:p>
        </w:tc>
      </w:tr>
      <w:tr w:rsidR="00A64D8D" w:rsidRPr="00D16865" w:rsidTr="0031616E">
        <w:tc>
          <w:tcPr>
            <w:tcW w:w="13948" w:type="dxa"/>
            <w:gridSpan w:val="2"/>
          </w:tcPr>
          <w:p w:rsidR="00A64D8D" w:rsidRPr="00D16865" w:rsidRDefault="00A64D8D">
            <w:pPr>
              <w:rPr>
                <w:b/>
                <w:lang w:val="en-US"/>
              </w:rPr>
            </w:pPr>
          </w:p>
        </w:tc>
      </w:tr>
      <w:tr w:rsidR="00A64D8D" w:rsidRPr="00D16865" w:rsidTr="0031616E">
        <w:tc>
          <w:tcPr>
            <w:tcW w:w="13948" w:type="dxa"/>
            <w:gridSpan w:val="2"/>
          </w:tcPr>
          <w:p w:rsidR="00A64D8D" w:rsidRPr="00D16865" w:rsidRDefault="00A64D8D" w:rsidP="002F4E2C">
            <w:pPr>
              <w:rPr>
                <w:b/>
                <w:lang w:val="en-US"/>
              </w:rPr>
            </w:pPr>
            <w:r w:rsidRPr="00D16865">
              <w:rPr>
                <w:b/>
                <w:lang w:val="en-US"/>
              </w:rPr>
              <w:t xml:space="preserve">Herholz 2011 </w:t>
            </w:r>
          </w:p>
        </w:tc>
      </w:tr>
      <w:tr w:rsidR="006B0115" w:rsidRPr="00D16865" w:rsidTr="0031616E">
        <w:tc>
          <w:tcPr>
            <w:tcW w:w="2771" w:type="dxa"/>
          </w:tcPr>
          <w:p w:rsidR="006B0115" w:rsidRPr="00D16865" w:rsidRDefault="006B0115" w:rsidP="006B0115">
            <w:pPr>
              <w:rPr>
                <w:b/>
                <w:lang w:val="en-US"/>
              </w:rPr>
            </w:pPr>
            <w:r w:rsidRPr="00D16865">
              <w:rPr>
                <w:b/>
                <w:lang w:val="en-US"/>
              </w:rPr>
              <w:t>Patient sampling</w:t>
            </w:r>
          </w:p>
        </w:tc>
        <w:tc>
          <w:tcPr>
            <w:tcW w:w="11177" w:type="dxa"/>
          </w:tcPr>
          <w:p w:rsidR="00F7502A" w:rsidRPr="00D16865" w:rsidRDefault="00F7502A" w:rsidP="006B0115">
            <w:pPr>
              <w:spacing w:after="120"/>
              <w:contextualSpacing/>
              <w:rPr>
                <w:rFonts w:eastAsia="Times New Roman" w:cs="Arial"/>
                <w:lang w:val="en-US" w:eastAsia="en-GB"/>
              </w:rPr>
            </w:pPr>
            <w:r w:rsidRPr="00D16865">
              <w:rPr>
                <w:rFonts w:eastAsia="Times New Roman" w:cs="Arial"/>
                <w:u w:val="single"/>
                <w:lang w:val="en-US" w:eastAsia="en-GB"/>
              </w:rPr>
              <w:t xml:space="preserve">Study design: </w:t>
            </w:r>
            <w:r w:rsidR="00557B9D" w:rsidRPr="00D16865">
              <w:rPr>
                <w:lang w:val="en-US"/>
              </w:rPr>
              <w:t>retrospective analysis of longitudinal data from ADNI database</w:t>
            </w:r>
          </w:p>
          <w:p w:rsidR="006B0115" w:rsidRPr="00D16865" w:rsidRDefault="006B0115" w:rsidP="006B0115">
            <w:pPr>
              <w:spacing w:after="120"/>
              <w:contextualSpacing/>
              <w:rPr>
                <w:rFonts w:eastAsia="Times New Roman" w:cs="Arial"/>
                <w:lang w:val="en-US" w:eastAsia="en-GB"/>
              </w:rPr>
            </w:pPr>
            <w:r w:rsidRPr="00D16865">
              <w:rPr>
                <w:rFonts w:eastAsia="Times New Roman" w:cs="Arial"/>
                <w:lang w:val="en-US" w:eastAsia="en-GB"/>
              </w:rPr>
              <w:t xml:space="preserve">A subset of 94 MCI participants' baseline data, available for all measures of interest, was used from the ADNI, a </w:t>
            </w:r>
            <w:r w:rsidR="004C661D" w:rsidRPr="00D16865">
              <w:rPr>
                <w:rFonts w:eastAsia="Times New Roman" w:cs="Arial"/>
                <w:lang w:val="en-US" w:eastAsia="en-GB"/>
              </w:rPr>
              <w:t>multicenter</w:t>
            </w:r>
            <w:r w:rsidRPr="00D16865">
              <w:rPr>
                <w:rFonts w:eastAsia="Times New Roman" w:cs="Arial"/>
                <w:lang w:val="en-US" w:eastAsia="en-GB"/>
              </w:rPr>
              <w:t xml:space="preserve"> project with approximately 50 medical </w:t>
            </w:r>
            <w:r w:rsidR="004C661D" w:rsidRPr="00D16865">
              <w:rPr>
                <w:rFonts w:eastAsia="Times New Roman" w:cs="Arial"/>
                <w:lang w:val="en-US" w:eastAsia="en-GB"/>
              </w:rPr>
              <w:t>center</w:t>
            </w:r>
            <w:r w:rsidRPr="00D16865">
              <w:rPr>
                <w:rFonts w:eastAsia="Times New Roman" w:cs="Arial"/>
                <w:lang w:val="en-US" w:eastAsia="en-GB"/>
              </w:rPr>
              <w:t xml:space="preserve"> and university sites across the United States and Canada.</w:t>
            </w:r>
          </w:p>
          <w:p w:rsidR="006B0115" w:rsidRPr="00D16865" w:rsidRDefault="006B0115" w:rsidP="00E50090">
            <w:pPr>
              <w:spacing w:after="120"/>
              <w:contextualSpacing/>
              <w:rPr>
                <w:rFonts w:eastAsia="Times New Roman" w:cs="Arial"/>
                <w:lang w:val="en-US" w:eastAsia="en-GB"/>
              </w:rPr>
            </w:pPr>
            <w:r w:rsidRPr="00D16865">
              <w:rPr>
                <w:rFonts w:eastAsia="Times New Roman" w:cs="Arial"/>
                <w:u w:val="single"/>
                <w:lang w:val="en-US" w:eastAsia="en-GB"/>
              </w:rPr>
              <w:t>Ex</w:t>
            </w:r>
            <w:r w:rsidR="00E50090" w:rsidRPr="00D16865">
              <w:rPr>
                <w:rFonts w:eastAsia="Times New Roman" w:cs="Arial"/>
                <w:u w:val="single"/>
                <w:lang w:val="en-US" w:eastAsia="en-GB"/>
              </w:rPr>
              <w:t>clusion criteria:</w:t>
            </w:r>
            <w:r w:rsidR="00E50090" w:rsidRPr="00D16865">
              <w:rPr>
                <w:rFonts w:eastAsia="Times New Roman" w:cs="Arial"/>
                <w:lang w:val="en-US" w:eastAsia="en-GB"/>
              </w:rPr>
              <w:t xml:space="preserve"> not reported.</w:t>
            </w:r>
          </w:p>
        </w:tc>
      </w:tr>
      <w:tr w:rsidR="006B0115" w:rsidRPr="00D16865" w:rsidTr="0031616E">
        <w:tc>
          <w:tcPr>
            <w:tcW w:w="2771" w:type="dxa"/>
          </w:tcPr>
          <w:p w:rsidR="006B0115" w:rsidRPr="00D16865" w:rsidRDefault="006B0115" w:rsidP="006B0115">
            <w:pPr>
              <w:rPr>
                <w:b/>
                <w:lang w:val="en-US"/>
              </w:rPr>
            </w:pPr>
            <w:r w:rsidRPr="00D16865">
              <w:rPr>
                <w:b/>
                <w:lang w:val="en-US"/>
              </w:rPr>
              <w:t>Patient characteristics and settings</w:t>
            </w:r>
          </w:p>
        </w:tc>
        <w:tc>
          <w:tcPr>
            <w:tcW w:w="11177" w:type="dxa"/>
          </w:tcPr>
          <w:p w:rsidR="006B0115" w:rsidRPr="00D16865" w:rsidRDefault="006B0115" w:rsidP="006B0115">
            <w:pPr>
              <w:pStyle w:val="NormalWeb"/>
              <w:contextualSpacing/>
              <w:rPr>
                <w:rFonts w:asciiTheme="minorHAnsi" w:hAnsiTheme="minorHAnsi" w:cs="Arial"/>
                <w:sz w:val="22"/>
                <w:szCs w:val="22"/>
                <w:lang w:val="en-US"/>
              </w:rPr>
            </w:pPr>
            <w:r w:rsidRPr="00D16865">
              <w:rPr>
                <w:rFonts w:asciiTheme="minorHAnsi" w:hAnsiTheme="minorHAnsi" w:cs="Arial"/>
                <w:sz w:val="22"/>
                <w:szCs w:val="22"/>
                <w:lang w:val="en-US"/>
              </w:rPr>
              <w:t xml:space="preserve">94 participants with MCI, diagnosed with the </w:t>
            </w:r>
            <w:r w:rsidRPr="004C661D">
              <w:rPr>
                <w:rStyle w:val="Hyperlink"/>
                <w:rFonts w:asciiTheme="minorHAnsi" w:hAnsiTheme="minorHAnsi" w:cs="Arial"/>
                <w:color w:val="000000" w:themeColor="text1"/>
                <w:sz w:val="22"/>
                <w:szCs w:val="22"/>
                <w:u w:val="none"/>
                <w:lang w:val="en-US"/>
              </w:rPr>
              <w:t>Petersen 2010</w:t>
            </w:r>
            <w:r w:rsidRPr="004C661D">
              <w:rPr>
                <w:rFonts w:asciiTheme="minorHAnsi" w:hAnsiTheme="minorHAnsi" w:cs="Arial"/>
                <w:color w:val="000000" w:themeColor="text1"/>
                <w:sz w:val="22"/>
                <w:szCs w:val="22"/>
                <w:lang w:val="en-US"/>
              </w:rPr>
              <w:t xml:space="preserve"> </w:t>
            </w:r>
            <w:r w:rsidRPr="00D16865">
              <w:rPr>
                <w:rFonts w:asciiTheme="minorHAnsi" w:hAnsiTheme="minorHAnsi" w:cs="Arial"/>
                <w:sz w:val="22"/>
                <w:szCs w:val="22"/>
                <w:lang w:val="en-US"/>
              </w:rPr>
              <w:t>and CDR = 0.5 at baseline, were recruited from ADNI data.</w:t>
            </w:r>
          </w:p>
          <w:p w:rsidR="006B0115" w:rsidRPr="00D16865" w:rsidRDefault="006B0115" w:rsidP="006B0115">
            <w:pPr>
              <w:pStyle w:val="NormalWeb"/>
              <w:contextualSpacing/>
              <w:rPr>
                <w:rFonts w:asciiTheme="minorHAnsi" w:hAnsiTheme="minorHAnsi" w:cs="Arial"/>
                <w:sz w:val="22"/>
                <w:szCs w:val="22"/>
                <w:lang w:val="en-US"/>
              </w:rPr>
            </w:pPr>
            <w:r w:rsidRPr="00D16865">
              <w:rPr>
                <w:rFonts w:asciiTheme="minorHAnsi" w:hAnsiTheme="minorHAnsi" w:cs="Arial"/>
                <w:sz w:val="22"/>
                <w:szCs w:val="22"/>
                <w:u w:val="single"/>
                <w:lang w:val="en-US"/>
              </w:rPr>
              <w:t>Gender:</w:t>
            </w:r>
            <w:r w:rsidRPr="00D16865">
              <w:rPr>
                <w:rFonts w:asciiTheme="minorHAnsi" w:hAnsiTheme="minorHAnsi" w:cs="Arial"/>
                <w:sz w:val="22"/>
                <w:szCs w:val="22"/>
                <w:lang w:val="en-US"/>
              </w:rPr>
              <w:t xml:space="preserve"> 28 women, 66 men</w:t>
            </w:r>
          </w:p>
          <w:p w:rsidR="006B0115" w:rsidRPr="00D16865" w:rsidRDefault="006B0115" w:rsidP="006B0115">
            <w:pPr>
              <w:pStyle w:val="NormalWeb"/>
              <w:contextualSpacing/>
              <w:rPr>
                <w:rFonts w:asciiTheme="minorHAnsi" w:hAnsiTheme="minorHAnsi" w:cs="Arial"/>
                <w:sz w:val="22"/>
                <w:szCs w:val="22"/>
                <w:lang w:val="en-US"/>
              </w:rPr>
            </w:pPr>
            <w:r w:rsidRPr="00D16865">
              <w:rPr>
                <w:rFonts w:asciiTheme="minorHAnsi" w:hAnsiTheme="minorHAnsi" w:cs="Arial"/>
                <w:sz w:val="22"/>
                <w:szCs w:val="22"/>
                <w:u w:val="single"/>
                <w:lang w:val="en-US"/>
              </w:rPr>
              <w:t>Age</w:t>
            </w:r>
            <w:r w:rsidR="001C7711" w:rsidRPr="00D16865">
              <w:rPr>
                <w:rFonts w:asciiTheme="minorHAnsi" w:hAnsiTheme="minorHAnsi" w:cs="Arial"/>
                <w:sz w:val="22"/>
                <w:szCs w:val="22"/>
                <w:u w:val="single"/>
                <w:lang w:val="en-US"/>
              </w:rPr>
              <w:t xml:space="preserve"> (y)</w:t>
            </w:r>
            <w:r w:rsidRPr="00D16865">
              <w:rPr>
                <w:rFonts w:asciiTheme="minorHAnsi" w:hAnsiTheme="minorHAnsi" w:cs="Arial"/>
                <w:sz w:val="22"/>
                <w:szCs w:val="22"/>
                <w:u w:val="single"/>
                <w:lang w:val="en-US"/>
              </w:rPr>
              <w:t>:</w:t>
            </w:r>
            <w:r w:rsidRPr="00D16865">
              <w:rPr>
                <w:rFonts w:asciiTheme="minorHAnsi" w:hAnsiTheme="minorHAnsi" w:cs="Arial"/>
                <w:sz w:val="22"/>
                <w:szCs w:val="22"/>
                <w:lang w:val="en-US"/>
              </w:rPr>
              <w:t xml:space="preserve"> Total: 75.0 ± 7.6 years</w:t>
            </w:r>
          </w:p>
          <w:p w:rsidR="006B0115" w:rsidRPr="00D16865" w:rsidRDefault="006B0115" w:rsidP="006B0115">
            <w:pPr>
              <w:pStyle w:val="NormalWeb"/>
              <w:contextualSpacing/>
              <w:rPr>
                <w:rFonts w:asciiTheme="minorHAnsi" w:hAnsiTheme="minorHAnsi" w:cs="Arial"/>
                <w:sz w:val="22"/>
                <w:szCs w:val="22"/>
                <w:lang w:val="en-US"/>
              </w:rPr>
            </w:pPr>
            <w:r w:rsidRPr="00D16865">
              <w:rPr>
                <w:rFonts w:asciiTheme="minorHAnsi" w:hAnsiTheme="minorHAnsi" w:cs="Arial"/>
                <w:sz w:val="22"/>
                <w:szCs w:val="22"/>
                <w:u w:val="single"/>
                <w:lang w:val="en-US"/>
              </w:rPr>
              <w:t>APOE</w:t>
            </w:r>
            <w:r w:rsidR="00D16865">
              <w:rPr>
                <w:rFonts w:asciiTheme="minorHAnsi" w:hAnsiTheme="minorHAnsi" w:cs="Arial"/>
                <w:sz w:val="22"/>
                <w:szCs w:val="22"/>
                <w:u w:val="single"/>
                <w:lang w:val="en-US"/>
              </w:rPr>
              <w:t xml:space="preserve"> </w:t>
            </w:r>
            <w:r w:rsidRPr="00D16865">
              <w:rPr>
                <w:rFonts w:asciiTheme="minorHAnsi" w:hAnsiTheme="minorHAnsi" w:cs="Arial"/>
                <w:sz w:val="22"/>
                <w:szCs w:val="22"/>
                <w:u w:val="single"/>
                <w:lang w:val="en-US"/>
              </w:rPr>
              <w:t>ɛ4:</w:t>
            </w:r>
            <w:r w:rsidRPr="00D16865">
              <w:rPr>
                <w:rFonts w:asciiTheme="minorHAnsi" w:hAnsiTheme="minorHAnsi" w:cs="Arial"/>
                <w:sz w:val="22"/>
                <w:szCs w:val="22"/>
                <w:lang w:val="en-US"/>
              </w:rPr>
              <w:t xml:space="preserve"> not reported</w:t>
            </w:r>
          </w:p>
          <w:p w:rsidR="006B0115" w:rsidRPr="00D16865" w:rsidRDefault="006B0115" w:rsidP="006B0115">
            <w:pPr>
              <w:pStyle w:val="NormalWeb"/>
              <w:contextualSpacing/>
              <w:rPr>
                <w:rFonts w:asciiTheme="minorHAnsi" w:hAnsiTheme="minorHAnsi" w:cs="Arial"/>
                <w:sz w:val="22"/>
                <w:szCs w:val="22"/>
                <w:lang w:val="en-US"/>
              </w:rPr>
            </w:pPr>
            <w:r w:rsidRPr="00D16865">
              <w:rPr>
                <w:rFonts w:asciiTheme="minorHAnsi" w:hAnsiTheme="minorHAnsi" w:cs="Arial"/>
                <w:sz w:val="22"/>
                <w:szCs w:val="22"/>
                <w:u w:val="single"/>
                <w:lang w:val="en-US"/>
              </w:rPr>
              <w:t>MMSE</w:t>
            </w:r>
            <w:r w:rsidRPr="00D16865">
              <w:rPr>
                <w:rFonts w:asciiTheme="minorHAnsi" w:hAnsiTheme="minorHAnsi" w:cs="Arial"/>
                <w:sz w:val="22"/>
                <w:szCs w:val="22"/>
                <w:lang w:val="en-US"/>
              </w:rPr>
              <w:t>: 27.1 ± 1.59</w:t>
            </w:r>
          </w:p>
          <w:p w:rsidR="006B0115" w:rsidRPr="00D16865" w:rsidRDefault="001C7711" w:rsidP="006B0115">
            <w:pPr>
              <w:pStyle w:val="NormalWeb"/>
              <w:contextualSpacing/>
              <w:rPr>
                <w:rFonts w:asciiTheme="minorHAnsi" w:hAnsiTheme="minorHAnsi" w:cs="Arial"/>
                <w:sz w:val="22"/>
                <w:szCs w:val="22"/>
                <w:lang w:val="en-US"/>
              </w:rPr>
            </w:pPr>
            <w:r w:rsidRPr="00D16865">
              <w:rPr>
                <w:rFonts w:asciiTheme="minorHAnsi" w:hAnsiTheme="minorHAnsi" w:cs="Arial"/>
                <w:sz w:val="22"/>
                <w:szCs w:val="22"/>
                <w:u w:val="single"/>
                <w:lang w:val="en-US"/>
              </w:rPr>
              <w:lastRenderedPageBreak/>
              <w:t>Education (y):</w:t>
            </w:r>
            <w:r w:rsidR="006B0115" w:rsidRPr="00D16865">
              <w:rPr>
                <w:rFonts w:asciiTheme="minorHAnsi" w:hAnsiTheme="minorHAnsi" w:cs="Arial"/>
                <w:sz w:val="22"/>
                <w:szCs w:val="22"/>
                <w:lang w:val="en-US"/>
              </w:rPr>
              <w:t xml:space="preserve"> not reported</w:t>
            </w:r>
          </w:p>
          <w:p w:rsidR="006B0115" w:rsidRPr="00D16865" w:rsidRDefault="006B0115" w:rsidP="006B0115">
            <w:pPr>
              <w:pStyle w:val="NormalWeb"/>
              <w:contextualSpacing/>
              <w:rPr>
                <w:rFonts w:asciiTheme="minorHAnsi" w:hAnsiTheme="minorHAnsi" w:cs="Arial"/>
                <w:sz w:val="22"/>
                <w:szCs w:val="22"/>
                <w:lang w:val="en-US"/>
              </w:rPr>
            </w:pPr>
            <w:r w:rsidRPr="00D16865">
              <w:rPr>
                <w:rFonts w:asciiTheme="minorHAnsi" w:hAnsiTheme="minorHAnsi" w:cs="Arial"/>
                <w:sz w:val="22"/>
                <w:szCs w:val="22"/>
                <w:u w:val="single"/>
                <w:lang w:val="en-US"/>
              </w:rPr>
              <w:t>Sources of referral:</w:t>
            </w:r>
            <w:r w:rsidRPr="00D16865">
              <w:rPr>
                <w:rFonts w:asciiTheme="minorHAnsi" w:hAnsiTheme="minorHAnsi" w:cs="Arial"/>
                <w:sz w:val="22"/>
                <w:szCs w:val="22"/>
                <w:lang w:val="en-US"/>
              </w:rPr>
              <w:t xml:space="preserve"> not reported</w:t>
            </w:r>
          </w:p>
          <w:p w:rsidR="006B0115" w:rsidRPr="00D16865" w:rsidRDefault="006B0115" w:rsidP="00E50090">
            <w:pPr>
              <w:pStyle w:val="NormalWeb"/>
              <w:contextualSpacing/>
              <w:rPr>
                <w:rFonts w:asciiTheme="minorHAnsi" w:hAnsiTheme="minorHAnsi" w:cs="Arial"/>
                <w:sz w:val="22"/>
                <w:szCs w:val="22"/>
                <w:lang w:val="en-US"/>
              </w:rPr>
            </w:pPr>
            <w:r w:rsidRPr="00D16865">
              <w:rPr>
                <w:rFonts w:asciiTheme="minorHAnsi" w:hAnsiTheme="minorHAnsi" w:cs="Arial"/>
                <w:sz w:val="22"/>
                <w:szCs w:val="22"/>
                <w:u w:val="single"/>
                <w:lang w:val="en-US"/>
              </w:rPr>
              <w:t>Sources of recruitment:</w:t>
            </w:r>
            <w:r w:rsidR="00E50090" w:rsidRPr="00D16865">
              <w:rPr>
                <w:rFonts w:asciiTheme="minorHAnsi" w:hAnsiTheme="minorHAnsi" w:cs="Arial"/>
                <w:sz w:val="22"/>
                <w:szCs w:val="22"/>
                <w:lang w:val="en-US"/>
              </w:rPr>
              <w:t xml:space="preserve"> </w:t>
            </w:r>
            <w:r w:rsidR="004C661D" w:rsidRPr="00D16865">
              <w:rPr>
                <w:rFonts w:asciiTheme="minorHAnsi" w:hAnsiTheme="minorHAnsi" w:cs="Arial"/>
                <w:sz w:val="22"/>
                <w:szCs w:val="22"/>
                <w:lang w:val="en-US"/>
              </w:rPr>
              <w:t>multicenter</w:t>
            </w:r>
          </w:p>
        </w:tc>
      </w:tr>
      <w:tr w:rsidR="006B0115" w:rsidRPr="00D16865" w:rsidTr="0031616E">
        <w:tc>
          <w:tcPr>
            <w:tcW w:w="2771" w:type="dxa"/>
          </w:tcPr>
          <w:p w:rsidR="006B0115" w:rsidRPr="00D16865" w:rsidRDefault="006B0115" w:rsidP="006B0115">
            <w:pPr>
              <w:rPr>
                <w:b/>
                <w:lang w:val="en-US"/>
              </w:rPr>
            </w:pPr>
            <w:r w:rsidRPr="00D16865">
              <w:rPr>
                <w:b/>
                <w:lang w:val="en-US"/>
              </w:rPr>
              <w:lastRenderedPageBreak/>
              <w:t>Index test</w:t>
            </w:r>
          </w:p>
        </w:tc>
        <w:tc>
          <w:tcPr>
            <w:tcW w:w="11177" w:type="dxa"/>
          </w:tcPr>
          <w:p w:rsidR="006B0115" w:rsidRPr="00D16865" w:rsidRDefault="006B0115" w:rsidP="006B0115">
            <w:pPr>
              <w:pStyle w:val="NormalWeb"/>
              <w:contextualSpacing/>
              <w:rPr>
                <w:rFonts w:asciiTheme="minorHAnsi" w:hAnsiTheme="minorHAnsi" w:cs="Arial"/>
                <w:sz w:val="22"/>
                <w:szCs w:val="22"/>
                <w:lang w:val="en-US"/>
              </w:rPr>
            </w:pPr>
            <w:r w:rsidRPr="00D16865">
              <w:rPr>
                <w:rFonts w:asciiTheme="minorHAnsi" w:hAnsiTheme="minorHAnsi" w:cs="Arial"/>
                <w:sz w:val="22"/>
                <w:szCs w:val="22"/>
                <w:lang w:val="en-US"/>
              </w:rPr>
              <w:t>¹</w:t>
            </w:r>
            <w:r w:rsidRPr="00D16865">
              <w:rPr>
                <w:rFonts w:asciiTheme="minorHAnsi" w:hAnsiTheme="minorHAnsi" w:cs="Cambria Math"/>
                <w:sz w:val="22"/>
                <w:szCs w:val="22"/>
                <w:lang w:val="en-US"/>
              </w:rPr>
              <w:t>⁸</w:t>
            </w:r>
            <w:r w:rsidRPr="00D16865">
              <w:rPr>
                <w:rFonts w:asciiTheme="minorHAnsi" w:hAnsiTheme="minorHAnsi" w:cs="Arial"/>
                <w:sz w:val="22"/>
                <w:szCs w:val="22"/>
                <w:lang w:val="en-US"/>
              </w:rPr>
              <w:t>F-FDG PET scan</w:t>
            </w:r>
          </w:p>
          <w:p w:rsidR="00FC6334" w:rsidRPr="00D16865" w:rsidRDefault="008C6B42" w:rsidP="00FC6334">
            <w:pPr>
              <w:pStyle w:val="NormalWeb"/>
              <w:contextualSpacing/>
              <w:rPr>
                <w:rFonts w:asciiTheme="minorHAnsi" w:hAnsiTheme="minorHAnsi" w:cs="Arial"/>
                <w:i/>
                <w:sz w:val="22"/>
                <w:szCs w:val="22"/>
                <w:u w:val="single"/>
                <w:lang w:val="en-US"/>
              </w:rPr>
            </w:pPr>
            <w:r w:rsidRPr="00D16865">
              <w:rPr>
                <w:rFonts w:asciiTheme="minorHAnsi" w:hAnsiTheme="minorHAnsi" w:cs="Arial"/>
                <w:i/>
                <w:sz w:val="22"/>
                <w:szCs w:val="22"/>
                <w:u w:val="single"/>
                <w:lang w:val="en-US"/>
              </w:rPr>
              <w:t>Acquisition</w:t>
            </w:r>
          </w:p>
          <w:p w:rsidR="00FC6334" w:rsidRPr="00D16865" w:rsidRDefault="00FC6334" w:rsidP="00FC6334">
            <w:pPr>
              <w:pStyle w:val="NormalWeb"/>
              <w:contextualSpacing/>
              <w:rPr>
                <w:rFonts w:asciiTheme="minorHAnsi" w:hAnsiTheme="minorHAnsi" w:cs="Arial"/>
                <w:sz w:val="22"/>
                <w:szCs w:val="22"/>
                <w:lang w:val="en-US"/>
              </w:rPr>
            </w:pPr>
            <w:r w:rsidRPr="00D16865">
              <w:rPr>
                <w:rFonts w:asciiTheme="minorHAnsi" w:hAnsiTheme="minorHAnsi" w:cs="AdvPSA88A"/>
                <w:sz w:val="22"/>
                <w:szCs w:val="22"/>
                <w:lang w:val="en-US"/>
              </w:rPr>
              <w:t xml:space="preserve">PET scans represented the brain activity 30–60 min after injection of 18F-FDG; had been reconstructed using 3-dimensional back projection, 3-dimensional ordered-subset expectation maximization, or Fourier </w:t>
            </w:r>
            <w:proofErr w:type="spellStart"/>
            <w:r w:rsidRPr="00D16865">
              <w:rPr>
                <w:rFonts w:asciiTheme="minorHAnsi" w:hAnsiTheme="minorHAnsi" w:cs="AdvPSA88A"/>
                <w:sz w:val="22"/>
                <w:szCs w:val="22"/>
                <w:lang w:val="en-US"/>
              </w:rPr>
              <w:t>rebinning</w:t>
            </w:r>
            <w:proofErr w:type="spellEnd"/>
            <w:r w:rsidRPr="00D16865">
              <w:rPr>
                <w:rFonts w:asciiTheme="minorHAnsi" w:hAnsiTheme="minorHAnsi" w:cs="AdvPSA88A"/>
                <w:sz w:val="22"/>
                <w:szCs w:val="22"/>
                <w:lang w:val="en-US"/>
              </w:rPr>
              <w:t>/2-dimensional ordered-subset expectation maximization; were scaled to a common global average value; and were reoriented into a standard 160</w:t>
            </w:r>
            <w:r w:rsidRPr="00D16865">
              <w:rPr>
                <w:rFonts w:asciiTheme="minorHAnsi" w:hAnsiTheme="minorHAnsi" w:cs="AdvPSSym"/>
                <w:sz w:val="22"/>
                <w:szCs w:val="22"/>
                <w:lang w:val="en-US"/>
              </w:rPr>
              <w:t>X</w:t>
            </w:r>
            <w:r w:rsidRPr="00D16865">
              <w:rPr>
                <w:rFonts w:asciiTheme="minorHAnsi" w:hAnsiTheme="minorHAnsi" w:cs="AdvPSA88A"/>
                <w:sz w:val="22"/>
                <w:szCs w:val="22"/>
                <w:lang w:val="en-US"/>
              </w:rPr>
              <w:t>160X96 voxel image grid (voxel size, 1.5x1.5x1.5 mm) along the anterior commissure-posterior commissure (AC-PC) plane and</w:t>
            </w:r>
            <w:r w:rsidRPr="00D16865">
              <w:rPr>
                <w:rFonts w:asciiTheme="minorHAnsi" w:hAnsiTheme="minorHAnsi" w:cs="Arial"/>
                <w:sz w:val="22"/>
                <w:szCs w:val="22"/>
                <w:lang w:val="en-US"/>
              </w:rPr>
              <w:t xml:space="preserve"> </w:t>
            </w:r>
            <w:r w:rsidRPr="00D16865">
              <w:rPr>
                <w:rFonts w:asciiTheme="minorHAnsi" w:hAnsiTheme="minorHAnsi" w:cs="AdvPSA88A"/>
                <w:sz w:val="22"/>
                <w:szCs w:val="22"/>
                <w:lang w:val="en-US"/>
              </w:rPr>
              <w:t>formatted as DICOM or ECAT files.</w:t>
            </w:r>
          </w:p>
          <w:p w:rsidR="008C6B42" w:rsidRPr="00D16865" w:rsidRDefault="008C6B42" w:rsidP="006B0115">
            <w:pPr>
              <w:pStyle w:val="NormalWeb"/>
              <w:contextualSpacing/>
              <w:rPr>
                <w:rFonts w:asciiTheme="minorHAnsi" w:hAnsiTheme="minorHAnsi" w:cs="Arial"/>
                <w:i/>
                <w:sz w:val="22"/>
                <w:szCs w:val="22"/>
                <w:u w:val="single"/>
                <w:lang w:val="en-US"/>
              </w:rPr>
            </w:pPr>
            <w:r w:rsidRPr="00D16865">
              <w:rPr>
                <w:rFonts w:asciiTheme="minorHAnsi" w:hAnsiTheme="minorHAnsi" w:cs="Arial"/>
                <w:i/>
                <w:sz w:val="22"/>
                <w:szCs w:val="22"/>
                <w:u w:val="single"/>
                <w:lang w:val="en-US"/>
              </w:rPr>
              <w:t>Data analysis</w:t>
            </w:r>
          </w:p>
          <w:p w:rsidR="006B0115" w:rsidRPr="004C661D" w:rsidRDefault="006B0115" w:rsidP="006B0115">
            <w:pPr>
              <w:pStyle w:val="NormalWeb"/>
              <w:contextualSpacing/>
              <w:rPr>
                <w:rFonts w:asciiTheme="minorHAnsi" w:hAnsiTheme="minorHAnsi" w:cs="Arial"/>
                <w:color w:val="000000" w:themeColor="text1"/>
                <w:sz w:val="22"/>
                <w:szCs w:val="22"/>
                <w:lang w:val="en-US"/>
              </w:rPr>
            </w:pPr>
            <w:r w:rsidRPr="00D16865">
              <w:rPr>
                <w:rFonts w:asciiTheme="minorHAnsi" w:hAnsiTheme="minorHAnsi" w:cs="Arial"/>
                <w:sz w:val="22"/>
                <w:szCs w:val="22"/>
                <w:lang w:val="en-US"/>
              </w:rPr>
              <w:t>The AD t-sum was calculated. It indicates the severity of the metabolic decrease in those brain areas that are typically affected by AD (multimodal association cortices mostly located in the temporal and parietal lobes), including an adjustment for age effects. The AD t-sum was converted into a PET score by reference to its upper limit (</w:t>
            </w:r>
            <w:r w:rsidRPr="004C661D">
              <w:rPr>
                <w:rStyle w:val="Hyperlink"/>
                <w:rFonts w:asciiTheme="minorHAnsi" w:hAnsiTheme="minorHAnsi" w:cs="Arial"/>
                <w:color w:val="000000" w:themeColor="text1"/>
                <w:sz w:val="22"/>
                <w:szCs w:val="22"/>
                <w:u w:val="none"/>
                <w:lang w:val="en-US"/>
              </w:rPr>
              <w:t>Herholz 2002</w:t>
            </w:r>
            <w:r w:rsidRPr="004C661D">
              <w:rPr>
                <w:rFonts w:asciiTheme="minorHAnsi" w:hAnsiTheme="minorHAnsi" w:cs="Arial"/>
                <w:color w:val="000000" w:themeColor="text1"/>
                <w:sz w:val="22"/>
                <w:szCs w:val="22"/>
                <w:lang w:val="en-US"/>
              </w:rPr>
              <w:t>)</w:t>
            </w:r>
          </w:p>
          <w:p w:rsidR="006B0115" w:rsidRPr="00D16865" w:rsidRDefault="006B0115" w:rsidP="006B0115">
            <w:pPr>
              <w:pStyle w:val="NormalWeb"/>
              <w:contextualSpacing/>
              <w:rPr>
                <w:rFonts w:asciiTheme="minorHAnsi" w:hAnsiTheme="minorHAnsi" w:cs="Arial"/>
                <w:sz w:val="22"/>
                <w:szCs w:val="22"/>
                <w:lang w:val="en-US"/>
              </w:rPr>
            </w:pPr>
            <w:r w:rsidRPr="00D16865">
              <w:rPr>
                <w:rFonts w:asciiTheme="minorHAnsi" w:hAnsiTheme="minorHAnsi" w:cs="Arial"/>
                <w:sz w:val="22"/>
                <w:szCs w:val="22"/>
                <w:lang w:val="en-US"/>
              </w:rPr>
              <w:t>ROI: temporal and parietal lobes</w:t>
            </w:r>
          </w:p>
          <w:p w:rsidR="006B0115" w:rsidRPr="00D16865" w:rsidRDefault="006B0115" w:rsidP="006B0115">
            <w:pPr>
              <w:pStyle w:val="NormalWeb"/>
              <w:contextualSpacing/>
              <w:rPr>
                <w:rFonts w:asciiTheme="minorHAnsi" w:hAnsiTheme="minorHAnsi" w:cs="Arial"/>
                <w:sz w:val="22"/>
                <w:szCs w:val="22"/>
                <w:lang w:val="en-US"/>
              </w:rPr>
            </w:pPr>
            <w:r w:rsidRPr="00D16865">
              <w:rPr>
                <w:rFonts w:asciiTheme="minorHAnsi" w:hAnsiTheme="minorHAnsi" w:cs="Arial"/>
                <w:sz w:val="22"/>
                <w:szCs w:val="22"/>
                <w:lang w:val="en-US"/>
              </w:rPr>
              <w:t>PET score = log2 {(</w:t>
            </w:r>
            <w:proofErr w:type="spellStart"/>
            <w:r w:rsidRPr="00D16865">
              <w:rPr>
                <w:rFonts w:asciiTheme="minorHAnsi" w:hAnsiTheme="minorHAnsi" w:cs="Arial"/>
                <w:sz w:val="22"/>
                <w:szCs w:val="22"/>
                <w:lang w:val="en-US"/>
              </w:rPr>
              <w:t>ADtsum</w:t>
            </w:r>
            <w:proofErr w:type="spellEnd"/>
            <w:r w:rsidRPr="00D16865">
              <w:rPr>
                <w:rFonts w:asciiTheme="minorHAnsi" w:hAnsiTheme="minorHAnsi" w:cs="Arial"/>
                <w:sz w:val="22"/>
                <w:szCs w:val="22"/>
                <w:lang w:val="en-US"/>
              </w:rPr>
              <w:t>/11,089) + 1)}</w:t>
            </w:r>
          </w:p>
          <w:p w:rsidR="006B0115" w:rsidRPr="00D16865" w:rsidRDefault="006B0115" w:rsidP="00E50090">
            <w:pPr>
              <w:pStyle w:val="NormalWeb"/>
              <w:contextualSpacing/>
              <w:rPr>
                <w:rFonts w:asciiTheme="minorHAnsi" w:hAnsiTheme="minorHAnsi" w:cs="Arial"/>
                <w:sz w:val="22"/>
                <w:szCs w:val="22"/>
                <w:lang w:val="en-US"/>
              </w:rPr>
            </w:pPr>
            <w:r w:rsidRPr="00D16865">
              <w:rPr>
                <w:rFonts w:asciiTheme="minorHAnsi" w:hAnsiTheme="minorHAnsi" w:cs="Arial"/>
                <w:sz w:val="22"/>
                <w:szCs w:val="22"/>
                <w:u w:val="single"/>
                <w:lang w:val="en-US"/>
              </w:rPr>
              <w:t>Threshold</w:t>
            </w:r>
            <w:r w:rsidRPr="00D16865">
              <w:rPr>
                <w:rFonts w:asciiTheme="minorHAnsi" w:hAnsiTheme="minorHAnsi" w:cs="Arial"/>
                <w:sz w:val="22"/>
                <w:szCs w:val="22"/>
                <w:lang w:val="en-US"/>
              </w:rPr>
              <w:t xml:space="preserve">: </w:t>
            </w:r>
            <w:proofErr w:type="spellStart"/>
            <w:r w:rsidRPr="00D16865">
              <w:rPr>
                <w:rFonts w:asciiTheme="minorHAnsi" w:hAnsiTheme="minorHAnsi" w:cs="Arial"/>
                <w:sz w:val="22"/>
                <w:szCs w:val="22"/>
                <w:lang w:val="en-US"/>
              </w:rPr>
              <w:t>rCGMglc</w:t>
            </w:r>
            <w:proofErr w:type="spellEnd"/>
            <w:r w:rsidRPr="00D16865">
              <w:rPr>
                <w:rFonts w:asciiTheme="minorHAnsi" w:hAnsiTheme="minorHAnsi" w:cs="Arial"/>
                <w:sz w:val="22"/>
                <w:szCs w:val="22"/>
                <w:lang w:val="en-US"/>
              </w:rPr>
              <w:t xml:space="preserve"> of t sum &gt; 11.090 </w:t>
            </w:r>
            <w:r w:rsidRPr="004C661D">
              <w:rPr>
                <w:rFonts w:asciiTheme="minorHAnsi" w:hAnsiTheme="minorHAnsi" w:cs="Arial"/>
                <w:color w:val="000000" w:themeColor="text1"/>
                <w:sz w:val="22"/>
                <w:szCs w:val="22"/>
                <w:lang w:val="en-US"/>
              </w:rPr>
              <w:t>(</w:t>
            </w:r>
            <w:r w:rsidRPr="004C661D">
              <w:rPr>
                <w:rStyle w:val="Hyperlink"/>
                <w:rFonts w:asciiTheme="minorHAnsi" w:hAnsiTheme="minorHAnsi" w:cs="Arial"/>
                <w:color w:val="000000" w:themeColor="text1"/>
                <w:sz w:val="22"/>
                <w:szCs w:val="22"/>
                <w:u w:val="none"/>
                <w:lang w:val="en-US"/>
              </w:rPr>
              <w:t>Herholz 2002</w:t>
            </w:r>
            <w:r w:rsidRPr="004C661D">
              <w:rPr>
                <w:rFonts w:asciiTheme="minorHAnsi" w:hAnsiTheme="minorHAnsi" w:cs="Arial"/>
                <w:color w:val="000000" w:themeColor="text1"/>
                <w:sz w:val="22"/>
                <w:szCs w:val="22"/>
                <w:lang w:val="en-US"/>
              </w:rPr>
              <w:t xml:space="preserve">); </w:t>
            </w:r>
            <w:r w:rsidRPr="00D16865">
              <w:rPr>
                <w:rFonts w:asciiTheme="minorHAnsi" w:hAnsiTheme="minorHAnsi" w:cs="Arial"/>
                <w:sz w:val="22"/>
                <w:szCs w:val="22"/>
                <w:lang w:val="en-US"/>
              </w:rPr>
              <w:t>pre</w:t>
            </w:r>
            <w:r w:rsidR="002F4E2C" w:rsidRPr="00D16865">
              <w:rPr>
                <w:rFonts w:asciiTheme="minorHAnsi" w:hAnsiTheme="minorHAnsi" w:cs="Arial"/>
                <w:sz w:val="22"/>
                <w:szCs w:val="22"/>
                <w:lang w:val="en-US"/>
              </w:rPr>
              <w:t>-</w:t>
            </w:r>
            <w:r w:rsidR="00E50090" w:rsidRPr="00D16865">
              <w:rPr>
                <w:rFonts w:asciiTheme="minorHAnsi" w:hAnsiTheme="minorHAnsi" w:cs="Arial"/>
                <w:sz w:val="22"/>
                <w:szCs w:val="22"/>
                <w:lang w:val="en-US"/>
              </w:rPr>
              <w:t>specified.</w:t>
            </w:r>
          </w:p>
        </w:tc>
      </w:tr>
      <w:tr w:rsidR="006B0115" w:rsidRPr="00D16865" w:rsidTr="0031616E">
        <w:tc>
          <w:tcPr>
            <w:tcW w:w="2771" w:type="dxa"/>
          </w:tcPr>
          <w:p w:rsidR="006B0115" w:rsidRPr="00D16865" w:rsidRDefault="006B0115" w:rsidP="006B0115">
            <w:pPr>
              <w:contextualSpacing/>
              <w:rPr>
                <w:b/>
                <w:lang w:val="en-US"/>
              </w:rPr>
            </w:pPr>
            <w:r w:rsidRPr="00D16865">
              <w:rPr>
                <w:b/>
                <w:lang w:val="en-US"/>
              </w:rPr>
              <w:t>Target condition</w:t>
            </w:r>
          </w:p>
        </w:tc>
        <w:tc>
          <w:tcPr>
            <w:tcW w:w="11177" w:type="dxa"/>
          </w:tcPr>
          <w:p w:rsidR="006B0115" w:rsidRPr="00D16865" w:rsidRDefault="006B0115" w:rsidP="006B0115">
            <w:pPr>
              <w:spacing w:after="120"/>
              <w:contextualSpacing/>
              <w:rPr>
                <w:rFonts w:eastAsia="Times New Roman" w:cs="Arial"/>
                <w:lang w:val="en-US" w:eastAsia="en-GB"/>
              </w:rPr>
            </w:pPr>
            <w:r w:rsidRPr="00D16865">
              <w:rPr>
                <w:rFonts w:eastAsia="Times New Roman" w:cs="Arial"/>
                <w:u w:val="single"/>
                <w:lang w:val="en-US" w:eastAsia="en-GB"/>
              </w:rPr>
              <w:t>Target condition:</w:t>
            </w:r>
            <w:r w:rsidRPr="00D16865">
              <w:rPr>
                <w:rFonts w:eastAsia="Times New Roman" w:cs="Arial"/>
                <w:lang w:val="en-US" w:eastAsia="en-GB"/>
              </w:rPr>
              <w:t xml:space="preserve"> conversion from MCI to Alzheimer's disease dementia</w:t>
            </w:r>
          </w:p>
          <w:p w:rsidR="006B0115" w:rsidRPr="00D16865" w:rsidRDefault="006B0115" w:rsidP="006B0115">
            <w:pPr>
              <w:spacing w:after="120"/>
              <w:contextualSpacing/>
              <w:rPr>
                <w:rFonts w:eastAsia="Times New Roman" w:cs="Arial"/>
                <w:lang w:val="en-US" w:eastAsia="en-GB"/>
              </w:rPr>
            </w:pPr>
            <w:r w:rsidRPr="00D16865">
              <w:rPr>
                <w:rFonts w:eastAsia="Times New Roman" w:cs="Arial"/>
                <w:u w:val="single"/>
                <w:lang w:val="en-US" w:eastAsia="en-GB"/>
              </w:rPr>
              <w:t>Reference standard:</w:t>
            </w:r>
            <w:r w:rsidRPr="00D16865">
              <w:rPr>
                <w:rFonts w:eastAsia="Times New Roman" w:cs="Arial"/>
                <w:lang w:val="en-US" w:eastAsia="en-GB"/>
              </w:rPr>
              <w:t xml:space="preserve"> clinical dementia rating (not specified) and ADAS-cog</w:t>
            </w:r>
          </w:p>
          <w:p w:rsidR="006B0115" w:rsidRPr="00D16865" w:rsidRDefault="006B0115" w:rsidP="00FC6334">
            <w:pPr>
              <w:spacing w:after="120"/>
              <w:contextualSpacing/>
              <w:rPr>
                <w:rFonts w:eastAsia="Times New Roman" w:cs="Arial"/>
                <w:lang w:val="en-US" w:eastAsia="en-GB"/>
              </w:rPr>
            </w:pPr>
            <w:r w:rsidRPr="00D16865">
              <w:rPr>
                <w:rFonts w:eastAsia="Times New Roman" w:cs="Arial"/>
                <w:lang w:val="en-US" w:eastAsia="en-GB"/>
              </w:rPr>
              <w:t>Unclear whether clinicians conducting follow-up were aware of the ¹</w:t>
            </w:r>
            <w:r w:rsidRPr="00D16865">
              <w:rPr>
                <w:rFonts w:eastAsia="Times New Roman" w:cs="Cambria Math"/>
                <w:lang w:val="en-US" w:eastAsia="en-GB"/>
              </w:rPr>
              <w:t>⁸</w:t>
            </w:r>
            <w:r w:rsidRPr="00D16865">
              <w:rPr>
                <w:rFonts w:eastAsia="Times New Roman" w:cs="Arial"/>
                <w:lang w:val="en-US" w:eastAsia="en-GB"/>
              </w:rPr>
              <w:t>F-FDG results</w:t>
            </w:r>
          </w:p>
        </w:tc>
      </w:tr>
      <w:tr w:rsidR="006B0115" w:rsidRPr="00D16865" w:rsidTr="0031616E">
        <w:tc>
          <w:tcPr>
            <w:tcW w:w="2771" w:type="dxa"/>
          </w:tcPr>
          <w:p w:rsidR="006B0115" w:rsidRPr="00D16865" w:rsidRDefault="006B0115" w:rsidP="006B0115">
            <w:pPr>
              <w:rPr>
                <w:b/>
                <w:lang w:val="en-US"/>
              </w:rPr>
            </w:pPr>
            <w:r w:rsidRPr="00D16865">
              <w:rPr>
                <w:b/>
                <w:lang w:val="en-US"/>
              </w:rPr>
              <w:t>Flow and timing</w:t>
            </w:r>
          </w:p>
        </w:tc>
        <w:tc>
          <w:tcPr>
            <w:tcW w:w="11177" w:type="dxa"/>
          </w:tcPr>
          <w:p w:rsidR="006B0115" w:rsidRPr="00D16865" w:rsidRDefault="006B0115" w:rsidP="006B0115">
            <w:pPr>
              <w:spacing w:after="120"/>
              <w:contextualSpacing/>
              <w:rPr>
                <w:rFonts w:eastAsia="Times New Roman" w:cs="Arial"/>
                <w:lang w:val="en-US" w:eastAsia="en-GB"/>
              </w:rPr>
            </w:pPr>
            <w:r w:rsidRPr="00D16865">
              <w:rPr>
                <w:rFonts w:eastAsia="Times New Roman" w:cs="Arial"/>
                <w:u w:val="single"/>
                <w:lang w:val="en-US" w:eastAsia="en-GB"/>
              </w:rPr>
              <w:t>Duration of follow-up:</w:t>
            </w:r>
            <w:r w:rsidRPr="00D16865">
              <w:rPr>
                <w:rFonts w:eastAsia="Times New Roman" w:cs="Arial"/>
                <w:lang w:val="en-US" w:eastAsia="en-GB"/>
              </w:rPr>
              <w:t xml:space="preserve"> 24 months</w:t>
            </w:r>
          </w:p>
          <w:p w:rsidR="006B0115" w:rsidRPr="00D16865" w:rsidRDefault="006B0115" w:rsidP="006B0115">
            <w:pPr>
              <w:spacing w:after="120"/>
              <w:contextualSpacing/>
              <w:rPr>
                <w:rFonts w:eastAsia="Times New Roman" w:cs="Arial"/>
                <w:lang w:val="en-US" w:eastAsia="en-GB"/>
              </w:rPr>
            </w:pPr>
            <w:r w:rsidRPr="00D16865">
              <w:rPr>
                <w:rFonts w:eastAsia="Times New Roman" w:cs="Arial"/>
                <w:lang w:val="en-US" w:eastAsia="en-GB"/>
              </w:rPr>
              <w:t>Particip</w:t>
            </w:r>
            <w:r w:rsidR="00FC6334" w:rsidRPr="00D16865">
              <w:rPr>
                <w:rFonts w:eastAsia="Times New Roman" w:cs="Arial"/>
                <w:lang w:val="en-US" w:eastAsia="en-GB"/>
              </w:rPr>
              <w:t>ants were required to have had four</w:t>
            </w:r>
            <w:r w:rsidR="00D27FEF" w:rsidRPr="00D16865">
              <w:rPr>
                <w:rFonts w:eastAsia="Times New Roman" w:cs="Arial"/>
                <w:lang w:val="en-US" w:eastAsia="en-GB"/>
              </w:rPr>
              <w:t xml:space="preserve"> </w:t>
            </w:r>
            <w:r w:rsidRPr="00D16865">
              <w:rPr>
                <w:rFonts w:eastAsia="Times New Roman" w:cs="Arial"/>
                <w:lang w:val="en-US" w:eastAsia="en-GB"/>
              </w:rPr>
              <w:t>¹</w:t>
            </w:r>
            <w:r w:rsidRPr="00D16865">
              <w:rPr>
                <w:rFonts w:eastAsia="Times New Roman" w:cs="Cambria Math"/>
                <w:lang w:val="en-US" w:eastAsia="en-GB"/>
              </w:rPr>
              <w:t>⁸</w:t>
            </w:r>
            <w:r w:rsidRPr="00D16865">
              <w:rPr>
                <w:rFonts w:eastAsia="Times New Roman" w:cs="Arial"/>
                <w:lang w:val="en-US" w:eastAsia="en-GB"/>
              </w:rPr>
              <w:t>F-FDG PET scans at baseline, 6m, 12m, and 24m.</w:t>
            </w:r>
          </w:p>
          <w:p w:rsidR="006B0115" w:rsidRPr="00D16865" w:rsidRDefault="006B0115" w:rsidP="006B0115">
            <w:pPr>
              <w:spacing w:after="120"/>
              <w:contextualSpacing/>
              <w:rPr>
                <w:rFonts w:eastAsia="Times New Roman" w:cs="Arial"/>
                <w:lang w:val="en-US" w:eastAsia="en-GB"/>
              </w:rPr>
            </w:pPr>
            <w:r w:rsidRPr="00D16865">
              <w:rPr>
                <w:rFonts w:eastAsia="Times New Roman" w:cs="Arial"/>
                <w:lang w:val="en-US" w:eastAsia="en-GB"/>
              </w:rPr>
              <w:t>At 24-month follow-up: 30 MCI-ADD, 64 MCI-non-convertors (57 MCI-MCI; 7 MCI-normal cognition); 45% abnormal ¹</w:t>
            </w:r>
            <w:r w:rsidRPr="00D16865">
              <w:rPr>
                <w:rFonts w:eastAsia="Times New Roman" w:cs="Cambria Math"/>
                <w:lang w:val="en-US" w:eastAsia="en-GB"/>
              </w:rPr>
              <w:t>⁸</w:t>
            </w:r>
            <w:r w:rsidRPr="00D16865">
              <w:rPr>
                <w:rFonts w:eastAsia="Times New Roman" w:cs="Arial"/>
                <w:lang w:val="en-US" w:eastAsia="en-GB"/>
              </w:rPr>
              <w:t xml:space="preserve">F-FDG tests (Table 2, p 1220): 38 </w:t>
            </w:r>
            <w:proofErr w:type="gramStart"/>
            <w:r w:rsidRPr="00D16865">
              <w:rPr>
                <w:rFonts w:eastAsia="Times New Roman" w:cs="Arial"/>
                <w:lang w:val="en-US" w:eastAsia="en-GB"/>
              </w:rPr>
              <w:t>test</w:t>
            </w:r>
            <w:proofErr w:type="gramEnd"/>
            <w:r w:rsidRPr="00D16865">
              <w:rPr>
                <w:rFonts w:eastAsia="Times New Roman" w:cs="Arial"/>
                <w:lang w:val="en-US" w:eastAsia="en-GB"/>
              </w:rPr>
              <w:t xml:space="preserve"> positive; 56 test negative</w:t>
            </w:r>
          </w:p>
          <w:p w:rsidR="006B0115" w:rsidRPr="00D16865" w:rsidRDefault="006B0115" w:rsidP="006B0115">
            <w:pPr>
              <w:spacing w:after="120"/>
              <w:contextualSpacing/>
              <w:rPr>
                <w:rFonts w:eastAsia="Times New Roman" w:cs="Arial"/>
                <w:lang w:val="en-US" w:eastAsia="en-GB"/>
              </w:rPr>
            </w:pPr>
            <w:r w:rsidRPr="00D16865">
              <w:rPr>
                <w:rFonts w:eastAsia="Times New Roman" w:cs="Arial"/>
                <w:u w:val="single"/>
                <w:lang w:val="en-US" w:eastAsia="en-GB"/>
              </w:rPr>
              <w:t>Number included in analysis:</w:t>
            </w:r>
            <w:r w:rsidRPr="00D16865">
              <w:rPr>
                <w:rFonts w:eastAsia="Times New Roman" w:cs="Arial"/>
                <w:lang w:val="en-US" w:eastAsia="en-GB"/>
              </w:rPr>
              <w:t xml:space="preserve"> 94</w:t>
            </w:r>
          </w:p>
          <w:p w:rsidR="00FC6334" w:rsidRPr="00D16865" w:rsidRDefault="00FC6334" w:rsidP="00FC6334">
            <w:pPr>
              <w:spacing w:after="120"/>
              <w:contextualSpacing/>
              <w:rPr>
                <w:rFonts w:eastAsia="Times New Roman" w:cs="Arial"/>
                <w:lang w:val="en-US" w:eastAsia="en-GB"/>
              </w:rPr>
            </w:pPr>
            <w:r w:rsidRPr="00D16865">
              <w:rPr>
                <w:rFonts w:eastAsia="Times New Roman" w:cs="Arial"/>
                <w:lang w:val="en-US" w:eastAsia="en-GB"/>
              </w:rPr>
              <w:t>Sensitivity=57%; specificity=67% (p 1220)</w:t>
            </w:r>
          </w:p>
          <w:p w:rsidR="006B0115" w:rsidRPr="00D16865" w:rsidRDefault="006B0115" w:rsidP="006B0115">
            <w:pPr>
              <w:spacing w:after="120"/>
              <w:contextualSpacing/>
              <w:rPr>
                <w:rFonts w:eastAsia="Times New Roman" w:cs="Arial"/>
                <w:lang w:val="en-US" w:eastAsia="en-GB"/>
              </w:rPr>
            </w:pPr>
            <w:r w:rsidRPr="00D16865">
              <w:rPr>
                <w:rFonts w:eastAsia="Times New Roman" w:cs="Arial"/>
                <w:lang w:val="en-US" w:eastAsia="en-GB"/>
              </w:rPr>
              <w:t>TP = 17; FP = 21; FN = 13; TN = 43 (Calculated in Review Manager 5)</w:t>
            </w:r>
          </w:p>
          <w:p w:rsidR="006B0115" w:rsidRPr="00D16865" w:rsidRDefault="006B0115" w:rsidP="00FC6334">
            <w:pPr>
              <w:spacing w:after="120"/>
              <w:contextualSpacing/>
              <w:rPr>
                <w:rFonts w:eastAsia="Times New Roman" w:cs="Arial"/>
                <w:lang w:val="en-US" w:eastAsia="en-GB"/>
              </w:rPr>
            </w:pPr>
            <w:r w:rsidRPr="00D16865">
              <w:rPr>
                <w:rFonts w:eastAsia="Times New Roman" w:cs="Arial"/>
                <w:u w:val="single"/>
                <w:lang w:val="en-US" w:eastAsia="en-GB"/>
              </w:rPr>
              <w:t>Loss to follow-up</w:t>
            </w:r>
            <w:r w:rsidRPr="00D16865">
              <w:rPr>
                <w:rFonts w:eastAsia="Times New Roman" w:cs="Arial"/>
                <w:lang w:val="en-US" w:eastAsia="en-GB"/>
              </w:rPr>
              <w:t>: none</w:t>
            </w:r>
          </w:p>
        </w:tc>
      </w:tr>
      <w:tr w:rsidR="006B0115" w:rsidRPr="00D16865" w:rsidTr="0031616E">
        <w:tc>
          <w:tcPr>
            <w:tcW w:w="13948" w:type="dxa"/>
            <w:gridSpan w:val="2"/>
          </w:tcPr>
          <w:p w:rsidR="004105ED" w:rsidRPr="00D16865" w:rsidRDefault="005D0045" w:rsidP="004105ED">
            <w:pPr>
              <w:contextualSpacing/>
              <w:rPr>
                <w:lang w:val="en-US"/>
              </w:rPr>
            </w:pPr>
            <w:r w:rsidRPr="00D16865">
              <w:rPr>
                <w:b/>
                <w:lang w:val="en-US"/>
              </w:rPr>
              <w:t>Objective</w:t>
            </w:r>
            <w:r w:rsidR="004105ED" w:rsidRPr="00D16865">
              <w:rPr>
                <w:b/>
                <w:lang w:val="en-US"/>
              </w:rPr>
              <w:t>:</w:t>
            </w:r>
            <w:r w:rsidR="004105ED" w:rsidRPr="00D16865">
              <w:rPr>
                <w:lang w:val="en-US"/>
              </w:rPr>
              <w:t xml:space="preserve"> to evaluate a calibrated </w:t>
            </w:r>
            <w:r w:rsidR="004105ED" w:rsidRPr="00D16865">
              <w:rPr>
                <w:vertAlign w:val="superscript"/>
                <w:lang w:val="en-US"/>
              </w:rPr>
              <w:t>18</w:t>
            </w:r>
            <w:r w:rsidR="004105ED" w:rsidRPr="00D16865">
              <w:rPr>
                <w:lang w:val="en-US"/>
              </w:rPr>
              <w:t>F-FDG PET score as a biomarker for progression in AD and MCI</w:t>
            </w:r>
          </w:p>
          <w:p w:rsidR="00B473EF" w:rsidRPr="00D16865" w:rsidRDefault="00B473EF">
            <w:pPr>
              <w:rPr>
                <w:b/>
                <w:lang w:val="en-US"/>
              </w:rPr>
            </w:pPr>
            <w:r w:rsidRPr="00D16865">
              <w:rPr>
                <w:b/>
                <w:lang w:val="en-US"/>
              </w:rPr>
              <w:t>Conclusion</w:t>
            </w:r>
          </w:p>
          <w:p w:rsidR="00B473EF" w:rsidRPr="00D16865" w:rsidRDefault="00C42759">
            <w:pPr>
              <w:rPr>
                <w:lang w:val="en-US"/>
              </w:rPr>
            </w:pPr>
            <w:r w:rsidRPr="00D16865">
              <w:rPr>
                <w:lang w:val="en-US"/>
              </w:rPr>
              <w:t>“</w:t>
            </w:r>
            <w:r w:rsidRPr="00D16865">
              <w:rPr>
                <w:vertAlign w:val="superscript"/>
                <w:lang w:val="en-US"/>
              </w:rPr>
              <w:t>18</w:t>
            </w:r>
            <w:r w:rsidRPr="00D16865">
              <w:rPr>
                <w:rFonts w:eastAsia="Times New Roman" w:cs="Arial"/>
                <w:lang w:val="en-US" w:eastAsia="en-GB"/>
              </w:rPr>
              <w:t xml:space="preserve">F-FDG </w:t>
            </w:r>
            <w:r w:rsidRPr="00D16865">
              <w:rPr>
                <w:lang w:val="en-US"/>
              </w:rPr>
              <w:t xml:space="preserve">PET scores at study entry in MCI patients significantly predict clinical progression to dementia with higher accuracy than MMSE and ADAS-cog. As a measure of disease progression, PET score may provide a power for 1-years study in MCI patients similar to what they provide for 2-years studies </w:t>
            </w:r>
            <w:r w:rsidRPr="00D16865">
              <w:rPr>
                <w:lang w:val="en-US"/>
              </w:rPr>
              <w:lastRenderedPageBreak/>
              <w:t>based on progression of ADAS-cog score”.</w:t>
            </w:r>
          </w:p>
        </w:tc>
      </w:tr>
      <w:tr w:rsidR="00A64D8D" w:rsidRPr="00D16865" w:rsidTr="0031616E">
        <w:tc>
          <w:tcPr>
            <w:tcW w:w="13948" w:type="dxa"/>
            <w:gridSpan w:val="2"/>
          </w:tcPr>
          <w:p w:rsidR="00A64D8D" w:rsidRPr="00D16865" w:rsidRDefault="00A64D8D">
            <w:pPr>
              <w:rPr>
                <w:b/>
                <w:lang w:val="en-US"/>
              </w:rPr>
            </w:pPr>
          </w:p>
        </w:tc>
      </w:tr>
      <w:tr w:rsidR="00A64D8D" w:rsidRPr="00D16865" w:rsidTr="0031616E">
        <w:tc>
          <w:tcPr>
            <w:tcW w:w="13948" w:type="dxa"/>
            <w:gridSpan w:val="2"/>
          </w:tcPr>
          <w:p w:rsidR="00A64D8D" w:rsidRPr="00D16865" w:rsidRDefault="00A64D8D" w:rsidP="00734180">
            <w:pPr>
              <w:rPr>
                <w:b/>
                <w:lang w:val="en-US"/>
              </w:rPr>
            </w:pPr>
            <w:r w:rsidRPr="00D16865">
              <w:rPr>
                <w:b/>
                <w:lang w:val="en-US"/>
              </w:rPr>
              <w:t xml:space="preserve">Landau 2010 </w:t>
            </w:r>
          </w:p>
        </w:tc>
      </w:tr>
      <w:tr w:rsidR="006B0115" w:rsidRPr="00D16865" w:rsidTr="0031616E">
        <w:tc>
          <w:tcPr>
            <w:tcW w:w="2771" w:type="dxa"/>
          </w:tcPr>
          <w:p w:rsidR="006B0115" w:rsidRPr="00D16865" w:rsidRDefault="006B0115" w:rsidP="006B0115">
            <w:pPr>
              <w:contextualSpacing/>
              <w:rPr>
                <w:b/>
                <w:lang w:val="en-US"/>
              </w:rPr>
            </w:pPr>
            <w:r w:rsidRPr="00D16865">
              <w:rPr>
                <w:b/>
                <w:lang w:val="en-US"/>
              </w:rPr>
              <w:t>Patient sampling</w:t>
            </w:r>
          </w:p>
        </w:tc>
        <w:tc>
          <w:tcPr>
            <w:tcW w:w="11177" w:type="dxa"/>
          </w:tcPr>
          <w:p w:rsidR="00D27FEF" w:rsidRPr="00D16865" w:rsidRDefault="00D27FEF" w:rsidP="00734180">
            <w:pPr>
              <w:spacing w:after="120"/>
              <w:contextualSpacing/>
              <w:rPr>
                <w:rFonts w:eastAsia="Times New Roman" w:cs="Arial"/>
                <w:lang w:val="en-US" w:eastAsia="en-GB"/>
              </w:rPr>
            </w:pPr>
            <w:r w:rsidRPr="00D16865">
              <w:rPr>
                <w:rFonts w:eastAsia="Times New Roman" w:cs="Arial"/>
                <w:u w:val="single"/>
                <w:lang w:val="en-US" w:eastAsia="en-GB"/>
              </w:rPr>
              <w:t>Study design:</w:t>
            </w:r>
            <w:r w:rsidRPr="00D16865">
              <w:rPr>
                <w:rFonts w:eastAsia="Times New Roman" w:cs="Arial"/>
                <w:lang w:val="en-US" w:eastAsia="en-GB"/>
              </w:rPr>
              <w:t xml:space="preserve"> </w:t>
            </w:r>
            <w:r w:rsidR="00557B9D" w:rsidRPr="00D16865">
              <w:rPr>
                <w:lang w:val="en-US"/>
              </w:rPr>
              <w:t>retrospective analysis of longitudinal data from ADNI database</w:t>
            </w:r>
          </w:p>
          <w:p w:rsidR="00734180" w:rsidRPr="00D16865" w:rsidRDefault="00D27FEF" w:rsidP="00734180">
            <w:pPr>
              <w:spacing w:after="120"/>
              <w:contextualSpacing/>
              <w:rPr>
                <w:rFonts w:eastAsia="Times New Roman" w:cs="Arial"/>
                <w:lang w:val="en-US" w:eastAsia="en-GB"/>
              </w:rPr>
            </w:pPr>
            <w:r w:rsidRPr="00D16865">
              <w:rPr>
                <w:rFonts w:eastAsia="Times New Roman" w:cs="Arial"/>
                <w:lang w:val="en-US" w:eastAsia="en-GB"/>
              </w:rPr>
              <w:t xml:space="preserve">Participants </w:t>
            </w:r>
            <w:r w:rsidR="00734180" w:rsidRPr="00D16865">
              <w:rPr>
                <w:rFonts w:eastAsia="Times New Roman" w:cs="Arial"/>
                <w:lang w:val="en-US" w:eastAsia="en-GB"/>
              </w:rPr>
              <w:t xml:space="preserve">with MCI </w:t>
            </w:r>
            <w:r w:rsidRPr="00D16865">
              <w:rPr>
                <w:rFonts w:cs="Arial"/>
                <w:lang w:val="en-US"/>
              </w:rPr>
              <w:t xml:space="preserve">were recruited from the ADNI, a </w:t>
            </w:r>
            <w:r w:rsidR="004C661D" w:rsidRPr="00D16865">
              <w:rPr>
                <w:rFonts w:cs="Arial"/>
                <w:lang w:val="en-US"/>
              </w:rPr>
              <w:t>multicenter</w:t>
            </w:r>
            <w:r w:rsidRPr="00D16865">
              <w:rPr>
                <w:rFonts w:cs="Arial"/>
                <w:lang w:val="en-US"/>
              </w:rPr>
              <w:t xml:space="preserve"> project with approximately 50 medical </w:t>
            </w:r>
            <w:r w:rsidR="004C661D" w:rsidRPr="00D16865">
              <w:rPr>
                <w:rFonts w:cs="Arial"/>
                <w:lang w:val="en-US"/>
              </w:rPr>
              <w:t>center</w:t>
            </w:r>
            <w:r w:rsidRPr="00D16865">
              <w:rPr>
                <w:rFonts w:cs="Arial"/>
                <w:lang w:val="en-US"/>
              </w:rPr>
              <w:t xml:space="preserve"> and university sites across the United States and Canada. </w:t>
            </w:r>
            <w:r w:rsidR="00734180" w:rsidRPr="00D16865">
              <w:rPr>
                <w:rFonts w:eastAsia="Times New Roman" w:cs="Arial"/>
                <w:lang w:val="en-US" w:eastAsia="en-GB"/>
              </w:rPr>
              <w:t>Participants had MCI and baseline data were available for all measures of interest to the current study.</w:t>
            </w:r>
          </w:p>
          <w:p w:rsidR="006B0115" w:rsidRPr="00D16865" w:rsidRDefault="00D27FEF" w:rsidP="00D27FEF">
            <w:pPr>
              <w:spacing w:after="120"/>
              <w:contextualSpacing/>
              <w:rPr>
                <w:rFonts w:eastAsia="Times New Roman" w:cs="Arial"/>
                <w:lang w:val="en-US" w:eastAsia="en-GB"/>
              </w:rPr>
            </w:pPr>
            <w:r w:rsidRPr="00D16865">
              <w:rPr>
                <w:rFonts w:eastAsia="Times New Roman" w:cs="Arial"/>
                <w:u w:val="single"/>
                <w:lang w:val="en-US" w:eastAsia="en-GB"/>
              </w:rPr>
              <w:t>E</w:t>
            </w:r>
            <w:r w:rsidR="00734180" w:rsidRPr="00D16865">
              <w:rPr>
                <w:rFonts w:eastAsia="Times New Roman" w:cs="Arial"/>
                <w:u w:val="single"/>
                <w:lang w:val="en-US" w:eastAsia="en-GB"/>
              </w:rPr>
              <w:t>xc</w:t>
            </w:r>
            <w:r w:rsidRPr="00D16865">
              <w:rPr>
                <w:rFonts w:eastAsia="Times New Roman" w:cs="Arial"/>
                <w:u w:val="single"/>
                <w:lang w:val="en-US" w:eastAsia="en-GB"/>
              </w:rPr>
              <w:t>lusion criteria:</w:t>
            </w:r>
            <w:r w:rsidRPr="00D16865">
              <w:rPr>
                <w:rFonts w:eastAsia="Times New Roman" w:cs="Arial"/>
                <w:lang w:val="en-US" w:eastAsia="en-GB"/>
              </w:rPr>
              <w:t xml:space="preserve"> not reported</w:t>
            </w:r>
          </w:p>
        </w:tc>
      </w:tr>
      <w:tr w:rsidR="006B0115" w:rsidRPr="00D16865" w:rsidTr="0031616E">
        <w:tc>
          <w:tcPr>
            <w:tcW w:w="2771" w:type="dxa"/>
          </w:tcPr>
          <w:p w:rsidR="006B0115" w:rsidRPr="00D16865" w:rsidRDefault="006B0115" w:rsidP="006B0115">
            <w:pPr>
              <w:contextualSpacing/>
              <w:rPr>
                <w:b/>
                <w:lang w:val="en-US"/>
              </w:rPr>
            </w:pPr>
            <w:r w:rsidRPr="00D16865">
              <w:rPr>
                <w:b/>
                <w:lang w:val="en-US"/>
              </w:rPr>
              <w:t>Patient characteristics and settings</w:t>
            </w:r>
          </w:p>
        </w:tc>
        <w:tc>
          <w:tcPr>
            <w:tcW w:w="11177" w:type="dxa"/>
          </w:tcPr>
          <w:p w:rsidR="00734180" w:rsidRPr="00D16865" w:rsidRDefault="00D27FEF" w:rsidP="00734180">
            <w:pPr>
              <w:pStyle w:val="NormalWeb"/>
              <w:contextualSpacing/>
              <w:rPr>
                <w:rFonts w:asciiTheme="minorHAnsi" w:hAnsiTheme="minorHAnsi" w:cs="Arial"/>
                <w:sz w:val="22"/>
                <w:szCs w:val="22"/>
                <w:lang w:val="en-US"/>
              </w:rPr>
            </w:pPr>
            <w:r w:rsidRPr="00D16865">
              <w:rPr>
                <w:rFonts w:asciiTheme="minorHAnsi" w:hAnsiTheme="minorHAnsi" w:cs="Arial"/>
                <w:sz w:val="22"/>
                <w:szCs w:val="22"/>
                <w:lang w:val="en-US"/>
              </w:rPr>
              <w:t xml:space="preserve">85 participants with MCI diagnosed with </w:t>
            </w:r>
            <w:r w:rsidR="00734180" w:rsidRPr="004C661D">
              <w:rPr>
                <w:rStyle w:val="Hyperlink"/>
                <w:rFonts w:asciiTheme="minorHAnsi" w:hAnsiTheme="minorHAnsi" w:cs="Arial"/>
                <w:color w:val="000000" w:themeColor="text1"/>
                <w:sz w:val="22"/>
                <w:szCs w:val="22"/>
                <w:u w:val="none"/>
                <w:lang w:val="en-US"/>
              </w:rPr>
              <w:t>Petersen 2010</w:t>
            </w:r>
            <w:r w:rsidRPr="004C661D">
              <w:rPr>
                <w:rFonts w:asciiTheme="minorHAnsi" w:hAnsiTheme="minorHAnsi" w:cs="Arial"/>
                <w:color w:val="000000" w:themeColor="text1"/>
                <w:sz w:val="22"/>
                <w:szCs w:val="22"/>
                <w:lang w:val="en-US"/>
              </w:rPr>
              <w:t xml:space="preserve"> and CDR=</w:t>
            </w:r>
            <w:r w:rsidR="00734180" w:rsidRPr="004C661D">
              <w:rPr>
                <w:rFonts w:asciiTheme="minorHAnsi" w:hAnsiTheme="minorHAnsi" w:cs="Arial"/>
                <w:color w:val="000000" w:themeColor="text1"/>
                <w:sz w:val="22"/>
                <w:szCs w:val="22"/>
                <w:lang w:val="en-US"/>
              </w:rPr>
              <w:t>0.5 criteria</w:t>
            </w:r>
            <w:r w:rsidRPr="004C661D">
              <w:rPr>
                <w:rFonts w:asciiTheme="minorHAnsi" w:hAnsiTheme="minorHAnsi" w:cs="Arial"/>
                <w:color w:val="000000" w:themeColor="text1"/>
                <w:sz w:val="22"/>
                <w:szCs w:val="22"/>
                <w:lang w:val="en-US"/>
              </w:rPr>
              <w:t xml:space="preserve">. </w:t>
            </w:r>
            <w:r w:rsidR="00734180" w:rsidRPr="004C661D">
              <w:rPr>
                <w:rFonts w:asciiTheme="minorHAnsi" w:hAnsiTheme="minorHAnsi" w:cs="Arial"/>
                <w:color w:val="000000" w:themeColor="text1"/>
                <w:sz w:val="22"/>
                <w:szCs w:val="22"/>
                <w:lang w:val="en-US"/>
              </w:rPr>
              <w:t>MCI participants were classified as single-domain or multi-domain amnestic MCI (</w:t>
            </w:r>
            <w:r w:rsidR="00734180" w:rsidRPr="004C661D">
              <w:rPr>
                <w:rStyle w:val="Hyperlink"/>
                <w:rFonts w:asciiTheme="minorHAnsi" w:hAnsiTheme="minorHAnsi" w:cs="Arial"/>
                <w:color w:val="000000" w:themeColor="text1"/>
                <w:sz w:val="22"/>
                <w:szCs w:val="22"/>
                <w:u w:val="none"/>
                <w:lang w:val="en-US"/>
              </w:rPr>
              <w:t>Petersen 2003</w:t>
            </w:r>
            <w:r w:rsidR="00734180" w:rsidRPr="00D16865">
              <w:rPr>
                <w:rFonts w:asciiTheme="minorHAnsi" w:hAnsiTheme="minorHAnsi" w:cs="Arial"/>
                <w:sz w:val="22"/>
                <w:szCs w:val="22"/>
                <w:lang w:val="en-US"/>
              </w:rPr>
              <w:t>).</w:t>
            </w:r>
          </w:p>
          <w:p w:rsidR="00734180" w:rsidRPr="00D16865" w:rsidRDefault="00734180" w:rsidP="00734180">
            <w:pPr>
              <w:pStyle w:val="NormalWeb"/>
              <w:contextualSpacing/>
              <w:rPr>
                <w:rFonts w:asciiTheme="minorHAnsi" w:hAnsiTheme="minorHAnsi" w:cs="Arial"/>
                <w:sz w:val="22"/>
                <w:szCs w:val="22"/>
                <w:lang w:val="en-US"/>
              </w:rPr>
            </w:pPr>
            <w:r w:rsidRPr="00D16865">
              <w:rPr>
                <w:rFonts w:asciiTheme="minorHAnsi" w:hAnsiTheme="minorHAnsi" w:cs="Arial"/>
                <w:sz w:val="22"/>
                <w:szCs w:val="22"/>
                <w:u w:val="single"/>
                <w:lang w:val="en-US"/>
              </w:rPr>
              <w:t>Gender:</w:t>
            </w:r>
            <w:r w:rsidRPr="00D16865">
              <w:rPr>
                <w:rFonts w:asciiTheme="minorHAnsi" w:hAnsiTheme="minorHAnsi" w:cs="Arial"/>
                <w:sz w:val="22"/>
                <w:szCs w:val="22"/>
                <w:lang w:val="en-US"/>
              </w:rPr>
              <w:t xml:space="preserve"> 56 men; 29 women. MCI-non-converters: 37M, 20F; MCI-converters: 19M, 9F</w:t>
            </w:r>
          </w:p>
          <w:p w:rsidR="001C7711" w:rsidRPr="00D16865" w:rsidRDefault="00734180" w:rsidP="00734180">
            <w:pPr>
              <w:pStyle w:val="NormalWeb"/>
              <w:contextualSpacing/>
              <w:rPr>
                <w:rFonts w:asciiTheme="minorHAnsi" w:hAnsiTheme="minorHAnsi" w:cs="Arial"/>
                <w:sz w:val="22"/>
                <w:szCs w:val="22"/>
                <w:lang w:val="en-US"/>
              </w:rPr>
            </w:pPr>
            <w:r w:rsidRPr="00D16865">
              <w:rPr>
                <w:rFonts w:asciiTheme="minorHAnsi" w:hAnsiTheme="minorHAnsi" w:cs="Arial"/>
                <w:sz w:val="22"/>
                <w:szCs w:val="22"/>
                <w:u w:val="single"/>
                <w:lang w:val="en-US"/>
              </w:rPr>
              <w:t>Age</w:t>
            </w:r>
            <w:r w:rsidR="001C7711" w:rsidRPr="00D16865">
              <w:rPr>
                <w:rFonts w:asciiTheme="minorHAnsi" w:hAnsiTheme="minorHAnsi" w:cs="Arial"/>
                <w:sz w:val="22"/>
                <w:szCs w:val="22"/>
                <w:u w:val="single"/>
                <w:lang w:val="en-US"/>
              </w:rPr>
              <w:t xml:space="preserve"> (y)</w:t>
            </w:r>
            <w:r w:rsidRPr="00D16865">
              <w:rPr>
                <w:rFonts w:asciiTheme="minorHAnsi" w:hAnsiTheme="minorHAnsi" w:cs="Arial"/>
                <w:sz w:val="22"/>
                <w:szCs w:val="22"/>
                <w:u w:val="single"/>
                <w:lang w:val="en-US"/>
              </w:rPr>
              <w:t>:</w:t>
            </w:r>
            <w:r w:rsidRPr="00D16865">
              <w:rPr>
                <w:rFonts w:asciiTheme="minorHAnsi" w:hAnsiTheme="minorHAnsi" w:cs="Arial"/>
                <w:sz w:val="22"/>
                <w:szCs w:val="22"/>
                <w:lang w:val="en-US"/>
              </w:rPr>
              <w:t xml:space="preserve"> MCI-non-converters: mean 78 ± 7.4 years; MCI-converters: mean 78.3 ± 7.5 </w:t>
            </w:r>
          </w:p>
          <w:p w:rsidR="00734180" w:rsidRPr="00D16865" w:rsidRDefault="00734180" w:rsidP="00734180">
            <w:pPr>
              <w:pStyle w:val="NormalWeb"/>
              <w:contextualSpacing/>
              <w:rPr>
                <w:rFonts w:asciiTheme="minorHAnsi" w:hAnsiTheme="minorHAnsi" w:cs="Arial"/>
                <w:sz w:val="22"/>
                <w:szCs w:val="22"/>
                <w:lang w:val="en-US"/>
              </w:rPr>
            </w:pPr>
            <w:r w:rsidRPr="00D16865">
              <w:rPr>
                <w:rFonts w:asciiTheme="minorHAnsi" w:hAnsiTheme="minorHAnsi" w:cs="Arial"/>
                <w:sz w:val="22"/>
                <w:szCs w:val="22"/>
                <w:u w:val="single"/>
                <w:lang w:val="en-US"/>
              </w:rPr>
              <w:t>APOE</w:t>
            </w:r>
            <w:r w:rsidR="00D16865">
              <w:rPr>
                <w:rFonts w:asciiTheme="minorHAnsi" w:hAnsiTheme="minorHAnsi" w:cs="Arial"/>
                <w:sz w:val="22"/>
                <w:szCs w:val="22"/>
                <w:u w:val="single"/>
                <w:lang w:val="en-US"/>
              </w:rPr>
              <w:t xml:space="preserve"> </w:t>
            </w:r>
            <w:r w:rsidRPr="00D16865">
              <w:rPr>
                <w:rFonts w:asciiTheme="minorHAnsi" w:hAnsiTheme="minorHAnsi" w:cs="Arial"/>
                <w:sz w:val="22"/>
                <w:szCs w:val="22"/>
                <w:u w:val="single"/>
                <w:lang w:val="en-US"/>
              </w:rPr>
              <w:t>ɛ4:</w:t>
            </w:r>
            <w:r w:rsidRPr="00D16865">
              <w:rPr>
                <w:rFonts w:asciiTheme="minorHAnsi" w:hAnsiTheme="minorHAnsi" w:cs="Arial"/>
                <w:sz w:val="22"/>
                <w:szCs w:val="22"/>
                <w:lang w:val="en-US"/>
              </w:rPr>
              <w:t xml:space="preserve"> MCI-non-converters: 14 (25%); MCI-converters: 11 (41%)</w:t>
            </w:r>
          </w:p>
          <w:p w:rsidR="00734180" w:rsidRPr="00D16865" w:rsidRDefault="00734180" w:rsidP="00734180">
            <w:pPr>
              <w:pStyle w:val="NormalWeb"/>
              <w:contextualSpacing/>
              <w:rPr>
                <w:rFonts w:asciiTheme="minorHAnsi" w:hAnsiTheme="minorHAnsi" w:cs="Arial"/>
                <w:sz w:val="22"/>
                <w:szCs w:val="22"/>
                <w:lang w:val="en-US"/>
              </w:rPr>
            </w:pPr>
            <w:r w:rsidRPr="00D16865">
              <w:rPr>
                <w:rFonts w:asciiTheme="minorHAnsi" w:hAnsiTheme="minorHAnsi" w:cs="Arial"/>
                <w:sz w:val="22"/>
                <w:szCs w:val="22"/>
                <w:u w:val="single"/>
                <w:lang w:val="en-US"/>
              </w:rPr>
              <w:t>MMSE:</w:t>
            </w:r>
            <w:r w:rsidRPr="00D16865">
              <w:rPr>
                <w:rFonts w:asciiTheme="minorHAnsi" w:hAnsiTheme="minorHAnsi" w:cs="Arial"/>
                <w:sz w:val="22"/>
                <w:szCs w:val="22"/>
                <w:lang w:val="en-US"/>
              </w:rPr>
              <w:t xml:space="preserve"> MCI-non-converters: mean 27.3 ± 1.6; MCI-converters: mean 26.4 ± 1.7</w:t>
            </w:r>
          </w:p>
          <w:p w:rsidR="00734180" w:rsidRPr="00D16865" w:rsidRDefault="00734180" w:rsidP="00734180">
            <w:pPr>
              <w:pStyle w:val="NormalWeb"/>
              <w:contextualSpacing/>
              <w:rPr>
                <w:rFonts w:asciiTheme="minorHAnsi" w:hAnsiTheme="minorHAnsi" w:cs="Arial"/>
                <w:sz w:val="22"/>
                <w:szCs w:val="22"/>
                <w:lang w:val="en-US"/>
              </w:rPr>
            </w:pPr>
            <w:r w:rsidRPr="00D16865">
              <w:rPr>
                <w:rFonts w:asciiTheme="minorHAnsi" w:hAnsiTheme="minorHAnsi" w:cs="Arial"/>
                <w:sz w:val="22"/>
                <w:szCs w:val="22"/>
                <w:u w:val="single"/>
                <w:lang w:val="en-US"/>
              </w:rPr>
              <w:t>Education</w:t>
            </w:r>
            <w:r w:rsidR="001C7711" w:rsidRPr="00D16865">
              <w:rPr>
                <w:rFonts w:asciiTheme="minorHAnsi" w:hAnsiTheme="minorHAnsi" w:cs="Arial"/>
                <w:sz w:val="22"/>
                <w:szCs w:val="22"/>
                <w:u w:val="single"/>
                <w:lang w:val="en-US"/>
              </w:rPr>
              <w:t xml:space="preserve"> (y)</w:t>
            </w:r>
            <w:r w:rsidRPr="00D16865">
              <w:rPr>
                <w:rFonts w:asciiTheme="minorHAnsi" w:hAnsiTheme="minorHAnsi" w:cs="Arial"/>
                <w:sz w:val="22"/>
                <w:szCs w:val="22"/>
                <w:lang w:val="en-US"/>
              </w:rPr>
              <w:t>: MCI-non-converters: mean 16.3 ± 2.8; MCI-converters: mean 16.4 ± 2.6</w:t>
            </w:r>
          </w:p>
          <w:p w:rsidR="00734180" w:rsidRPr="00D16865" w:rsidRDefault="00734180" w:rsidP="00734180">
            <w:pPr>
              <w:pStyle w:val="NormalWeb"/>
              <w:contextualSpacing/>
              <w:rPr>
                <w:rFonts w:asciiTheme="minorHAnsi" w:hAnsiTheme="minorHAnsi" w:cs="Arial"/>
                <w:sz w:val="22"/>
                <w:szCs w:val="22"/>
                <w:lang w:val="en-US"/>
              </w:rPr>
            </w:pPr>
            <w:r w:rsidRPr="00D16865">
              <w:rPr>
                <w:rFonts w:asciiTheme="minorHAnsi" w:hAnsiTheme="minorHAnsi" w:cs="Arial"/>
                <w:sz w:val="22"/>
                <w:szCs w:val="22"/>
                <w:u w:val="single"/>
                <w:lang w:val="en-US"/>
              </w:rPr>
              <w:t>Sources of referral:</w:t>
            </w:r>
            <w:r w:rsidRPr="00D16865">
              <w:rPr>
                <w:rFonts w:asciiTheme="minorHAnsi" w:hAnsiTheme="minorHAnsi" w:cs="Arial"/>
                <w:sz w:val="22"/>
                <w:szCs w:val="22"/>
                <w:lang w:val="en-US"/>
              </w:rPr>
              <w:t xml:space="preserve"> not reported</w:t>
            </w:r>
          </w:p>
          <w:p w:rsidR="006B0115" w:rsidRPr="00D16865" w:rsidRDefault="00734180" w:rsidP="00D27FEF">
            <w:pPr>
              <w:pStyle w:val="NormalWeb"/>
              <w:contextualSpacing/>
              <w:rPr>
                <w:rFonts w:asciiTheme="minorHAnsi" w:hAnsiTheme="minorHAnsi" w:cs="Arial"/>
                <w:sz w:val="22"/>
                <w:szCs w:val="22"/>
                <w:lang w:val="en-US"/>
              </w:rPr>
            </w:pPr>
            <w:r w:rsidRPr="00D16865">
              <w:rPr>
                <w:rFonts w:asciiTheme="minorHAnsi" w:hAnsiTheme="minorHAnsi" w:cs="Arial"/>
                <w:sz w:val="22"/>
                <w:szCs w:val="22"/>
                <w:u w:val="single"/>
                <w:lang w:val="en-US"/>
              </w:rPr>
              <w:t>Sources of recruitment:</w:t>
            </w:r>
            <w:r w:rsidR="00D27FEF" w:rsidRPr="00D16865">
              <w:rPr>
                <w:rFonts w:asciiTheme="minorHAnsi" w:hAnsiTheme="minorHAnsi" w:cs="Arial"/>
                <w:sz w:val="22"/>
                <w:szCs w:val="22"/>
                <w:lang w:val="en-US"/>
              </w:rPr>
              <w:t xml:space="preserve"> </w:t>
            </w:r>
            <w:r w:rsidR="004C661D" w:rsidRPr="00D16865">
              <w:rPr>
                <w:rFonts w:asciiTheme="minorHAnsi" w:hAnsiTheme="minorHAnsi" w:cs="Arial"/>
                <w:sz w:val="22"/>
                <w:szCs w:val="22"/>
                <w:lang w:val="en-US"/>
              </w:rPr>
              <w:t>multicenter</w:t>
            </w:r>
          </w:p>
        </w:tc>
      </w:tr>
      <w:tr w:rsidR="006B0115" w:rsidRPr="00D16865" w:rsidTr="0031616E">
        <w:tc>
          <w:tcPr>
            <w:tcW w:w="2771" w:type="dxa"/>
          </w:tcPr>
          <w:p w:rsidR="006B0115" w:rsidRPr="00D16865" w:rsidRDefault="006B0115" w:rsidP="006B0115">
            <w:pPr>
              <w:contextualSpacing/>
              <w:rPr>
                <w:b/>
                <w:lang w:val="en-US"/>
              </w:rPr>
            </w:pPr>
            <w:r w:rsidRPr="00D16865">
              <w:rPr>
                <w:b/>
                <w:lang w:val="en-US"/>
              </w:rPr>
              <w:t>Index test</w:t>
            </w:r>
          </w:p>
        </w:tc>
        <w:tc>
          <w:tcPr>
            <w:tcW w:w="11177" w:type="dxa"/>
          </w:tcPr>
          <w:p w:rsidR="00734180" w:rsidRPr="00D16865" w:rsidRDefault="00734180" w:rsidP="00734180">
            <w:pPr>
              <w:spacing w:after="120"/>
              <w:contextualSpacing/>
              <w:rPr>
                <w:rFonts w:eastAsia="Times New Roman" w:cs="Arial"/>
                <w:lang w:val="en-US" w:eastAsia="en-GB"/>
              </w:rPr>
            </w:pPr>
            <w:r w:rsidRPr="00D16865">
              <w:rPr>
                <w:rFonts w:eastAsia="Times New Roman" w:cs="Arial"/>
                <w:lang w:val="en-US" w:eastAsia="en-GB"/>
              </w:rPr>
              <w:t>¹</w:t>
            </w:r>
            <w:r w:rsidRPr="00D16865">
              <w:rPr>
                <w:rFonts w:eastAsia="Times New Roman" w:cs="Cambria Math"/>
                <w:lang w:val="en-US" w:eastAsia="en-GB"/>
              </w:rPr>
              <w:t>⁸</w:t>
            </w:r>
            <w:r w:rsidRPr="00D16865">
              <w:rPr>
                <w:rFonts w:eastAsia="Times New Roman" w:cs="Arial"/>
                <w:lang w:val="en-US" w:eastAsia="en-GB"/>
              </w:rPr>
              <w:t>F-FDG PET scan</w:t>
            </w:r>
          </w:p>
          <w:p w:rsidR="00D27FEF" w:rsidRPr="00D16865" w:rsidRDefault="00D27FEF" w:rsidP="00734180">
            <w:pPr>
              <w:spacing w:after="120"/>
              <w:contextualSpacing/>
              <w:rPr>
                <w:rFonts w:eastAsia="Times New Roman" w:cs="Arial"/>
                <w:i/>
                <w:u w:val="single"/>
                <w:lang w:val="en-US" w:eastAsia="en-GB"/>
              </w:rPr>
            </w:pPr>
            <w:r w:rsidRPr="00D16865">
              <w:rPr>
                <w:rFonts w:eastAsia="Times New Roman" w:cs="Arial"/>
                <w:i/>
                <w:u w:val="single"/>
                <w:lang w:val="en-US" w:eastAsia="en-GB"/>
              </w:rPr>
              <w:t>Acquisition</w:t>
            </w:r>
          </w:p>
          <w:p w:rsidR="00D27FEF" w:rsidRPr="00D16865" w:rsidRDefault="00D27FEF" w:rsidP="00734180">
            <w:pPr>
              <w:spacing w:after="120"/>
              <w:contextualSpacing/>
              <w:rPr>
                <w:rFonts w:eastAsia="Times New Roman" w:cs="Arial"/>
                <w:lang w:val="en-US" w:eastAsia="en-GB"/>
              </w:rPr>
            </w:pPr>
            <w:r w:rsidRPr="00D16865">
              <w:rPr>
                <w:rFonts w:eastAsia="Times New Roman" w:cs="Arial"/>
                <w:lang w:val="en-US" w:eastAsia="en-GB"/>
              </w:rPr>
              <w:t>PET images were acquired 30–</w:t>
            </w:r>
            <w:r w:rsidR="00734180" w:rsidRPr="00D16865">
              <w:rPr>
                <w:rFonts w:eastAsia="Times New Roman" w:cs="Arial"/>
                <w:lang w:val="en-US" w:eastAsia="en-GB"/>
              </w:rPr>
              <w:t xml:space="preserve">60 minutes post-injection. Images were averaged, spatially aligned, interpolated to a standard voxel size, intensity </w:t>
            </w:r>
            <w:r w:rsidR="004C661D" w:rsidRPr="00D16865">
              <w:rPr>
                <w:rFonts w:eastAsia="Times New Roman" w:cs="Arial"/>
                <w:lang w:val="en-US" w:eastAsia="en-GB"/>
              </w:rPr>
              <w:t>normalized</w:t>
            </w:r>
            <w:r w:rsidR="00734180" w:rsidRPr="00D16865">
              <w:rPr>
                <w:rFonts w:eastAsia="Times New Roman" w:cs="Arial"/>
                <w:lang w:val="en-US" w:eastAsia="en-GB"/>
              </w:rPr>
              <w:t xml:space="preserve">, and smoothed to a common resolution of 8 mm full width at half maximum. </w:t>
            </w:r>
          </w:p>
          <w:p w:rsidR="00D27FEF" w:rsidRPr="00D16865" w:rsidRDefault="00D27FEF" w:rsidP="00734180">
            <w:pPr>
              <w:spacing w:after="120"/>
              <w:contextualSpacing/>
              <w:rPr>
                <w:rFonts w:eastAsia="Times New Roman" w:cs="Arial"/>
                <w:i/>
                <w:u w:val="single"/>
                <w:lang w:val="en-US" w:eastAsia="en-GB"/>
              </w:rPr>
            </w:pPr>
            <w:r w:rsidRPr="00D16865">
              <w:rPr>
                <w:rFonts w:eastAsia="Times New Roman" w:cs="Arial"/>
                <w:i/>
                <w:u w:val="single"/>
                <w:lang w:val="en-US" w:eastAsia="en-GB"/>
              </w:rPr>
              <w:t>Data analysis</w:t>
            </w:r>
          </w:p>
          <w:p w:rsidR="00734180" w:rsidRPr="00D16865" w:rsidRDefault="00734180" w:rsidP="00734180">
            <w:pPr>
              <w:spacing w:after="120"/>
              <w:contextualSpacing/>
              <w:rPr>
                <w:rFonts w:eastAsia="Times New Roman" w:cs="Arial"/>
                <w:lang w:val="en-US" w:eastAsia="en-GB"/>
              </w:rPr>
            </w:pPr>
            <w:r w:rsidRPr="00D16865">
              <w:rPr>
                <w:rFonts w:eastAsia="Times New Roman" w:cs="Arial"/>
                <w:lang w:val="en-US" w:eastAsia="en-GB"/>
              </w:rPr>
              <w:t xml:space="preserve">Spatial </w:t>
            </w:r>
            <w:r w:rsidR="004C661D" w:rsidRPr="00D16865">
              <w:rPr>
                <w:rFonts w:eastAsia="Times New Roman" w:cs="Arial"/>
                <w:lang w:val="en-US" w:eastAsia="en-GB"/>
              </w:rPr>
              <w:t>normalization</w:t>
            </w:r>
            <w:r w:rsidRPr="00D16865">
              <w:rPr>
                <w:rFonts w:eastAsia="Times New Roman" w:cs="Arial"/>
                <w:lang w:val="en-US" w:eastAsia="en-GB"/>
              </w:rPr>
              <w:t xml:space="preserve"> of each individual’s PET volume to the standard ¹</w:t>
            </w:r>
            <w:r w:rsidRPr="00D16865">
              <w:rPr>
                <w:rFonts w:eastAsia="Times New Roman" w:cs="Cambria Math"/>
                <w:lang w:val="en-US" w:eastAsia="en-GB"/>
              </w:rPr>
              <w:t>⁵</w:t>
            </w:r>
            <w:r w:rsidRPr="00D16865">
              <w:rPr>
                <w:rFonts w:eastAsia="Times New Roman" w:cs="Arial"/>
                <w:lang w:val="en-US" w:eastAsia="en-GB"/>
              </w:rPr>
              <w:t>O-H</w:t>
            </w:r>
            <w:r w:rsidRPr="00D16865">
              <w:rPr>
                <w:rFonts w:eastAsia="Times New Roman" w:cs="Cambria Math"/>
                <w:lang w:val="en-US" w:eastAsia="en-GB"/>
              </w:rPr>
              <w:t>₂</w:t>
            </w:r>
            <w:r w:rsidRPr="00D16865">
              <w:rPr>
                <w:rFonts w:eastAsia="Times New Roman" w:cs="Arial"/>
                <w:lang w:val="en-US" w:eastAsia="en-GB"/>
              </w:rPr>
              <w:t xml:space="preserve">O PET template was conducted using </w:t>
            </w:r>
            <w:r w:rsidRPr="00D16865">
              <w:rPr>
                <w:rFonts w:eastAsia="Times New Roman" w:cs="Arial"/>
                <w:b/>
                <w:lang w:val="en-US" w:eastAsia="en-GB"/>
              </w:rPr>
              <w:t>SPM5</w:t>
            </w:r>
            <w:r w:rsidRPr="00D16865">
              <w:rPr>
                <w:rFonts w:eastAsia="Times New Roman" w:cs="Arial"/>
                <w:lang w:val="en-US" w:eastAsia="en-GB"/>
              </w:rPr>
              <w:t xml:space="preserve"> (template voxel dimensions: 91 x 109 x 91; voxel size: 2 mm x 2 mm x 2 mm).</w:t>
            </w:r>
          </w:p>
          <w:p w:rsidR="00734180" w:rsidRPr="00D16865" w:rsidRDefault="00734180" w:rsidP="00734180">
            <w:pPr>
              <w:spacing w:after="120"/>
              <w:contextualSpacing/>
              <w:rPr>
                <w:rFonts w:eastAsia="Times New Roman" w:cs="Arial"/>
                <w:lang w:val="en-US" w:eastAsia="en-GB"/>
              </w:rPr>
            </w:pPr>
            <w:r w:rsidRPr="00D16865">
              <w:rPr>
                <w:rFonts w:eastAsia="Times New Roman" w:cs="Arial"/>
                <w:lang w:val="en-US" w:eastAsia="en-GB"/>
              </w:rPr>
              <w:t xml:space="preserve">The regions of interest </w:t>
            </w:r>
            <w:r w:rsidR="00650521" w:rsidRPr="00D16865">
              <w:rPr>
                <w:rFonts w:eastAsia="Times New Roman" w:cs="Arial"/>
                <w:lang w:val="en-US" w:eastAsia="en-GB"/>
              </w:rPr>
              <w:t xml:space="preserve">(ROI) </w:t>
            </w:r>
            <w:r w:rsidRPr="00D16865">
              <w:rPr>
                <w:rFonts w:eastAsia="Times New Roman" w:cs="Arial"/>
                <w:lang w:val="en-US" w:eastAsia="en-GB"/>
              </w:rPr>
              <w:t>selected were study-independent, frequently associated with decline in AD and MCI (no further details). Optimal diagnostic thresholds were derived from a ROC analysis.</w:t>
            </w:r>
          </w:p>
          <w:p w:rsidR="00734180" w:rsidRPr="00D16865" w:rsidRDefault="00734180" w:rsidP="00734180">
            <w:pPr>
              <w:spacing w:after="120"/>
              <w:contextualSpacing/>
              <w:rPr>
                <w:rFonts w:eastAsia="Times New Roman" w:cs="Arial"/>
                <w:lang w:val="en-US" w:eastAsia="en-GB"/>
              </w:rPr>
            </w:pPr>
            <w:r w:rsidRPr="00D16865">
              <w:rPr>
                <w:rFonts w:eastAsia="Times New Roman" w:cs="Arial"/>
                <w:u w:val="single"/>
                <w:lang w:val="en-US" w:eastAsia="en-GB"/>
              </w:rPr>
              <w:t xml:space="preserve">Threshold: </w:t>
            </w:r>
            <w:r w:rsidRPr="00D16865">
              <w:rPr>
                <w:rFonts w:eastAsia="Times New Roman" w:cs="Arial"/>
                <w:lang w:val="en-US" w:eastAsia="en-GB"/>
              </w:rPr>
              <w:t>1.21 (Table 2 – most likely this value refers to rCMRglc); not pre</w:t>
            </w:r>
            <w:r w:rsidR="00650521" w:rsidRPr="00D16865">
              <w:rPr>
                <w:rFonts w:eastAsia="Times New Roman" w:cs="Arial"/>
                <w:lang w:val="en-US" w:eastAsia="en-GB"/>
              </w:rPr>
              <w:t>-</w:t>
            </w:r>
            <w:r w:rsidRPr="00D16865">
              <w:rPr>
                <w:rFonts w:eastAsia="Times New Roman" w:cs="Arial"/>
                <w:lang w:val="en-US" w:eastAsia="en-GB"/>
              </w:rPr>
              <w:t>specified.</w:t>
            </w:r>
          </w:p>
          <w:p w:rsidR="006B0115" w:rsidRPr="00D16865" w:rsidRDefault="00734180" w:rsidP="00D27FEF">
            <w:pPr>
              <w:spacing w:after="120"/>
              <w:contextualSpacing/>
              <w:rPr>
                <w:rFonts w:eastAsia="Times New Roman" w:cs="Arial"/>
                <w:lang w:val="en-US" w:eastAsia="en-GB"/>
              </w:rPr>
            </w:pPr>
            <w:r w:rsidRPr="00D16865">
              <w:rPr>
                <w:rFonts w:eastAsia="Times New Roman" w:cs="Arial"/>
                <w:lang w:val="en-US" w:eastAsia="en-GB"/>
              </w:rPr>
              <w:t>The mean ± SD values on ¹</w:t>
            </w:r>
            <w:r w:rsidRPr="00D16865">
              <w:rPr>
                <w:rFonts w:eastAsia="Times New Roman" w:cs="Cambria Math"/>
                <w:lang w:val="en-US" w:eastAsia="en-GB"/>
              </w:rPr>
              <w:t>⁸</w:t>
            </w:r>
            <w:r w:rsidRPr="00D16865">
              <w:rPr>
                <w:rFonts w:eastAsia="Times New Roman" w:cs="Arial"/>
                <w:lang w:val="en-US" w:eastAsia="en-GB"/>
              </w:rPr>
              <w:t>F-FDG scan are referred on Table 1: MCI-non-converters: 1.22 ± 0.</w:t>
            </w:r>
            <w:r w:rsidR="00D27FEF" w:rsidRPr="00D16865">
              <w:rPr>
                <w:rFonts w:eastAsia="Times New Roman" w:cs="Arial"/>
                <w:lang w:val="en-US" w:eastAsia="en-GB"/>
              </w:rPr>
              <w:t>14; MCI-converters: 1.13 ± 0.10</w:t>
            </w:r>
          </w:p>
        </w:tc>
      </w:tr>
      <w:tr w:rsidR="006B0115" w:rsidRPr="00D16865" w:rsidTr="0031616E">
        <w:tc>
          <w:tcPr>
            <w:tcW w:w="2771" w:type="dxa"/>
          </w:tcPr>
          <w:p w:rsidR="006B0115" w:rsidRPr="00D16865" w:rsidRDefault="006B0115" w:rsidP="006B0115">
            <w:pPr>
              <w:contextualSpacing/>
              <w:rPr>
                <w:b/>
                <w:lang w:val="en-US"/>
              </w:rPr>
            </w:pPr>
            <w:r w:rsidRPr="00D16865">
              <w:rPr>
                <w:b/>
                <w:lang w:val="en-US"/>
              </w:rPr>
              <w:t>Target condition</w:t>
            </w:r>
          </w:p>
        </w:tc>
        <w:tc>
          <w:tcPr>
            <w:tcW w:w="11177" w:type="dxa"/>
          </w:tcPr>
          <w:p w:rsidR="00734180" w:rsidRPr="00D16865" w:rsidRDefault="00734180" w:rsidP="00734180">
            <w:pPr>
              <w:pStyle w:val="NormalWeb"/>
              <w:contextualSpacing/>
              <w:rPr>
                <w:rFonts w:asciiTheme="minorHAnsi" w:hAnsiTheme="minorHAnsi" w:cs="Arial"/>
                <w:sz w:val="22"/>
                <w:szCs w:val="22"/>
                <w:lang w:val="en-US"/>
              </w:rPr>
            </w:pPr>
            <w:r w:rsidRPr="00D16865">
              <w:rPr>
                <w:rFonts w:asciiTheme="minorHAnsi" w:hAnsiTheme="minorHAnsi" w:cs="Arial"/>
                <w:sz w:val="22"/>
                <w:szCs w:val="22"/>
                <w:u w:val="single"/>
                <w:lang w:val="en-US"/>
              </w:rPr>
              <w:t>Target condition</w:t>
            </w:r>
            <w:r w:rsidRPr="00D16865">
              <w:rPr>
                <w:rFonts w:asciiTheme="minorHAnsi" w:hAnsiTheme="minorHAnsi" w:cs="Arial"/>
                <w:sz w:val="22"/>
                <w:szCs w:val="22"/>
                <w:lang w:val="en-US"/>
              </w:rPr>
              <w:t>: conversion from MCI to Alzheimer's disease dementia</w:t>
            </w:r>
          </w:p>
          <w:p w:rsidR="00734180" w:rsidRPr="00D16865" w:rsidRDefault="00734180" w:rsidP="00734180">
            <w:pPr>
              <w:pStyle w:val="NormalWeb"/>
              <w:contextualSpacing/>
              <w:rPr>
                <w:rFonts w:asciiTheme="minorHAnsi" w:hAnsiTheme="minorHAnsi" w:cs="Arial"/>
                <w:sz w:val="22"/>
                <w:szCs w:val="22"/>
                <w:lang w:val="en-US"/>
              </w:rPr>
            </w:pPr>
            <w:r w:rsidRPr="00D16865">
              <w:rPr>
                <w:rFonts w:asciiTheme="minorHAnsi" w:hAnsiTheme="minorHAnsi" w:cs="Arial"/>
                <w:sz w:val="22"/>
                <w:szCs w:val="22"/>
                <w:u w:val="single"/>
                <w:lang w:val="en-US"/>
              </w:rPr>
              <w:t>Reference standard:</w:t>
            </w:r>
            <w:r w:rsidRPr="00D16865">
              <w:rPr>
                <w:rFonts w:asciiTheme="minorHAnsi" w:hAnsiTheme="minorHAnsi" w:cs="Arial"/>
                <w:sz w:val="22"/>
                <w:szCs w:val="22"/>
                <w:lang w:val="en-US"/>
              </w:rPr>
              <w:t xml:space="preserve"> NINCDS-ADRDA criteria. Cognitive decline was measured by ADAS–Cognitive Subscale (</w:t>
            </w:r>
            <w:r w:rsidRPr="004C661D">
              <w:rPr>
                <w:rStyle w:val="Hyperlink"/>
                <w:rFonts w:asciiTheme="minorHAnsi" w:hAnsiTheme="minorHAnsi" w:cs="Arial"/>
                <w:color w:val="000000" w:themeColor="text1"/>
                <w:sz w:val="22"/>
                <w:szCs w:val="22"/>
                <w:u w:val="none"/>
                <w:lang w:val="en-US"/>
              </w:rPr>
              <w:t>Rosen 1984</w:t>
            </w:r>
            <w:r w:rsidRPr="00D16865">
              <w:rPr>
                <w:rFonts w:asciiTheme="minorHAnsi" w:hAnsiTheme="minorHAnsi" w:cs="Arial"/>
                <w:sz w:val="22"/>
                <w:szCs w:val="22"/>
                <w:lang w:val="en-US"/>
              </w:rPr>
              <w:t>) and standard diagnostic criteria.</w:t>
            </w:r>
          </w:p>
          <w:p w:rsidR="006B0115" w:rsidRPr="00D16865" w:rsidRDefault="00734180" w:rsidP="00D27FEF">
            <w:pPr>
              <w:pStyle w:val="NormalWeb"/>
              <w:contextualSpacing/>
              <w:rPr>
                <w:rFonts w:asciiTheme="minorHAnsi" w:hAnsiTheme="minorHAnsi" w:cs="Arial"/>
                <w:sz w:val="22"/>
                <w:szCs w:val="22"/>
                <w:lang w:val="en-US"/>
              </w:rPr>
            </w:pPr>
            <w:r w:rsidRPr="00D16865">
              <w:rPr>
                <w:rFonts w:asciiTheme="minorHAnsi" w:hAnsiTheme="minorHAnsi" w:cs="Arial"/>
                <w:sz w:val="22"/>
                <w:szCs w:val="22"/>
                <w:lang w:val="en-US"/>
              </w:rPr>
              <w:lastRenderedPageBreak/>
              <w:t>Unclear whether clinicians conducting follow-up were aware of the ¹</w:t>
            </w:r>
            <w:r w:rsidRPr="00D16865">
              <w:rPr>
                <w:rFonts w:asciiTheme="minorHAnsi" w:hAnsiTheme="minorHAnsi" w:cs="Cambria Math"/>
                <w:sz w:val="22"/>
                <w:szCs w:val="22"/>
                <w:lang w:val="en-US"/>
              </w:rPr>
              <w:t>⁸</w:t>
            </w:r>
            <w:r w:rsidR="00D27FEF" w:rsidRPr="00D16865">
              <w:rPr>
                <w:rFonts w:asciiTheme="minorHAnsi" w:hAnsiTheme="minorHAnsi" w:cs="Arial"/>
                <w:sz w:val="22"/>
                <w:szCs w:val="22"/>
                <w:lang w:val="en-US"/>
              </w:rPr>
              <w:t xml:space="preserve">F-FDG </w:t>
            </w:r>
            <w:r w:rsidR="0079333D" w:rsidRPr="00D16865">
              <w:rPr>
                <w:rFonts w:asciiTheme="minorHAnsi" w:hAnsiTheme="minorHAnsi" w:cs="Arial"/>
                <w:sz w:val="22"/>
                <w:szCs w:val="22"/>
                <w:lang w:val="en-US"/>
              </w:rPr>
              <w:t xml:space="preserve">PET </w:t>
            </w:r>
            <w:r w:rsidR="00D27FEF" w:rsidRPr="00D16865">
              <w:rPr>
                <w:rFonts w:asciiTheme="minorHAnsi" w:hAnsiTheme="minorHAnsi" w:cs="Arial"/>
                <w:sz w:val="22"/>
                <w:szCs w:val="22"/>
                <w:lang w:val="en-US"/>
              </w:rPr>
              <w:t>results.</w:t>
            </w:r>
          </w:p>
        </w:tc>
      </w:tr>
      <w:tr w:rsidR="006B0115" w:rsidRPr="00D16865" w:rsidTr="0031616E">
        <w:tc>
          <w:tcPr>
            <w:tcW w:w="2771" w:type="dxa"/>
          </w:tcPr>
          <w:p w:rsidR="006B0115" w:rsidRPr="00D16865" w:rsidRDefault="006B0115" w:rsidP="006B0115">
            <w:pPr>
              <w:contextualSpacing/>
              <w:rPr>
                <w:b/>
                <w:lang w:val="en-US"/>
              </w:rPr>
            </w:pPr>
            <w:r w:rsidRPr="00D16865">
              <w:rPr>
                <w:b/>
                <w:lang w:val="en-US"/>
              </w:rPr>
              <w:lastRenderedPageBreak/>
              <w:t>Flow and timin</w:t>
            </w:r>
            <w:r w:rsidRPr="00D16865">
              <w:rPr>
                <w:lang w:val="en-US"/>
              </w:rPr>
              <w:t>g</w:t>
            </w:r>
          </w:p>
        </w:tc>
        <w:tc>
          <w:tcPr>
            <w:tcW w:w="11177" w:type="dxa"/>
          </w:tcPr>
          <w:p w:rsidR="00734180" w:rsidRPr="00D16865" w:rsidRDefault="00734180" w:rsidP="00734180">
            <w:pPr>
              <w:spacing w:after="120"/>
              <w:contextualSpacing/>
              <w:rPr>
                <w:rFonts w:eastAsia="Times New Roman" w:cs="Arial"/>
                <w:lang w:val="en-US" w:eastAsia="en-GB"/>
              </w:rPr>
            </w:pPr>
            <w:r w:rsidRPr="00D16865">
              <w:rPr>
                <w:rFonts w:eastAsia="Times New Roman" w:cs="Arial"/>
                <w:u w:val="single"/>
                <w:lang w:val="en-US" w:eastAsia="en-GB"/>
              </w:rPr>
              <w:t>Duration of follow-up:</w:t>
            </w:r>
            <w:r w:rsidRPr="00D16865">
              <w:rPr>
                <w:rFonts w:eastAsia="Times New Roman" w:cs="Arial"/>
                <w:lang w:val="en-US" w:eastAsia="en-GB"/>
              </w:rPr>
              <w:t xml:space="preserve"> </w:t>
            </w:r>
            <w:r w:rsidR="007B64B3" w:rsidRPr="00D16865">
              <w:rPr>
                <w:rFonts w:eastAsia="Times New Roman" w:cs="Arial"/>
                <w:lang w:val="en-US" w:eastAsia="en-GB"/>
              </w:rPr>
              <w:t>Mean = 1.9 ± 0.4 years; On average: 2</w:t>
            </w:r>
            <w:r w:rsidRPr="00D16865">
              <w:rPr>
                <w:rFonts w:eastAsia="Times New Roman" w:cs="Arial"/>
                <w:lang w:val="en-US" w:eastAsia="en-GB"/>
              </w:rPr>
              <w:t xml:space="preserve"> years</w:t>
            </w:r>
          </w:p>
          <w:p w:rsidR="00734180" w:rsidRPr="00D16865" w:rsidRDefault="00734180" w:rsidP="00734180">
            <w:pPr>
              <w:spacing w:after="120"/>
              <w:contextualSpacing/>
              <w:rPr>
                <w:rFonts w:eastAsia="Times New Roman" w:cs="Arial"/>
                <w:lang w:val="en-US" w:eastAsia="en-GB"/>
              </w:rPr>
            </w:pPr>
            <w:r w:rsidRPr="00D16865">
              <w:rPr>
                <w:rFonts w:eastAsia="Times New Roman" w:cs="Arial"/>
                <w:lang w:val="en-US" w:eastAsia="en-GB"/>
              </w:rPr>
              <w:t>Follow-up occurred at multiple time points (6, 12, 18, 24 and 36 months)</w:t>
            </w:r>
          </w:p>
          <w:p w:rsidR="00734180" w:rsidRPr="00D16865" w:rsidRDefault="00734180" w:rsidP="00734180">
            <w:pPr>
              <w:spacing w:after="120"/>
              <w:contextualSpacing/>
              <w:rPr>
                <w:rFonts w:eastAsia="Times New Roman" w:cs="Arial"/>
                <w:lang w:val="en-US" w:eastAsia="en-GB"/>
              </w:rPr>
            </w:pPr>
            <w:r w:rsidRPr="00D16865">
              <w:rPr>
                <w:rFonts w:eastAsia="Times New Roman" w:cs="Arial"/>
                <w:lang w:val="en-US" w:eastAsia="en-GB"/>
              </w:rPr>
              <w:t>At baseline 85 participants with MCI.</w:t>
            </w:r>
          </w:p>
          <w:p w:rsidR="00734180" w:rsidRPr="00D16865" w:rsidRDefault="00734180" w:rsidP="00734180">
            <w:pPr>
              <w:spacing w:after="120"/>
              <w:contextualSpacing/>
              <w:rPr>
                <w:rFonts w:eastAsia="Times New Roman" w:cs="Arial"/>
                <w:lang w:val="en-US" w:eastAsia="en-GB"/>
              </w:rPr>
            </w:pPr>
            <w:r w:rsidRPr="00D16865">
              <w:rPr>
                <w:rFonts w:eastAsia="Times New Roman" w:cs="Arial"/>
                <w:lang w:val="en-US" w:eastAsia="en-GB"/>
              </w:rPr>
              <w:t>At follow-up: 85 participants: 28 MCI-ADD; 57 MCI-MCI (p 232)</w:t>
            </w:r>
          </w:p>
          <w:p w:rsidR="00734180" w:rsidRPr="00D16865" w:rsidRDefault="00734180" w:rsidP="00734180">
            <w:pPr>
              <w:spacing w:after="120"/>
              <w:contextualSpacing/>
              <w:rPr>
                <w:rFonts w:eastAsia="Times New Roman" w:cs="Arial"/>
                <w:lang w:val="en-US" w:eastAsia="en-GB"/>
              </w:rPr>
            </w:pPr>
            <w:r w:rsidRPr="00D16865">
              <w:rPr>
                <w:rFonts w:eastAsia="Times New Roman" w:cs="Arial"/>
                <w:lang w:val="en-US" w:eastAsia="en-GB"/>
              </w:rPr>
              <w:t>Information from the author:</w:t>
            </w:r>
          </w:p>
          <w:p w:rsidR="00734180" w:rsidRPr="00D16865" w:rsidRDefault="00734180" w:rsidP="00734180">
            <w:pPr>
              <w:spacing w:after="120"/>
              <w:contextualSpacing/>
              <w:rPr>
                <w:rFonts w:eastAsia="Times New Roman" w:cs="Arial"/>
                <w:lang w:val="en-US" w:eastAsia="en-GB"/>
              </w:rPr>
            </w:pPr>
            <w:r w:rsidRPr="00D16865">
              <w:rPr>
                <w:rFonts w:eastAsia="Times New Roman" w:cs="Arial"/>
                <w:lang w:val="en-US" w:eastAsia="en-GB"/>
              </w:rPr>
              <w:t>At follow-up: 51 MCI with positive ¹</w:t>
            </w:r>
            <w:r w:rsidRPr="00D16865">
              <w:rPr>
                <w:rFonts w:eastAsia="Times New Roman" w:cs="Cambria Math"/>
                <w:lang w:val="en-US" w:eastAsia="en-GB"/>
              </w:rPr>
              <w:t>⁸</w:t>
            </w:r>
            <w:r w:rsidRPr="00D16865">
              <w:rPr>
                <w:rFonts w:eastAsia="Times New Roman" w:cs="Arial"/>
                <w:lang w:val="en-US" w:eastAsia="en-GB"/>
              </w:rPr>
              <w:t>F-FDG biomarker: 21 MCI-ADD, 30 MCI-MCI; 34 MCI with negative ¹</w:t>
            </w:r>
            <w:r w:rsidRPr="00D16865">
              <w:rPr>
                <w:rFonts w:eastAsia="Times New Roman" w:cs="Cambria Math"/>
                <w:lang w:val="en-US" w:eastAsia="en-GB"/>
              </w:rPr>
              <w:t>⁸</w:t>
            </w:r>
            <w:r w:rsidRPr="00D16865">
              <w:rPr>
                <w:rFonts w:eastAsia="Times New Roman" w:cs="Arial"/>
                <w:lang w:val="en-US" w:eastAsia="en-GB"/>
              </w:rPr>
              <w:t>F-FDG biomarker: 7 MCI-ADD, 27 MCI-MCI</w:t>
            </w:r>
          </w:p>
          <w:p w:rsidR="00734180" w:rsidRPr="00D16865" w:rsidRDefault="00734180" w:rsidP="00734180">
            <w:pPr>
              <w:spacing w:after="120"/>
              <w:contextualSpacing/>
              <w:rPr>
                <w:rFonts w:eastAsia="Times New Roman" w:cs="Arial"/>
                <w:lang w:val="en-US" w:eastAsia="en-GB"/>
              </w:rPr>
            </w:pPr>
            <w:r w:rsidRPr="00D16865">
              <w:rPr>
                <w:rFonts w:eastAsia="Times New Roman" w:cs="Arial"/>
                <w:u w:val="single"/>
                <w:lang w:val="en-US" w:eastAsia="en-GB"/>
              </w:rPr>
              <w:t>Number included in analysis: 85</w:t>
            </w:r>
            <w:r w:rsidRPr="00D16865">
              <w:rPr>
                <w:rFonts w:eastAsia="Times New Roman" w:cs="Arial"/>
                <w:lang w:val="en-US" w:eastAsia="en-GB"/>
              </w:rPr>
              <w:t xml:space="preserve"> </w:t>
            </w:r>
          </w:p>
          <w:p w:rsidR="00734180" w:rsidRPr="00D16865" w:rsidRDefault="00734180" w:rsidP="00734180">
            <w:pPr>
              <w:spacing w:after="120"/>
              <w:contextualSpacing/>
              <w:rPr>
                <w:rFonts w:cs="Arial"/>
                <w:lang w:val="en-US"/>
              </w:rPr>
            </w:pPr>
            <w:r w:rsidRPr="00D16865">
              <w:rPr>
                <w:rFonts w:eastAsia="Times New Roman" w:cs="Arial"/>
                <w:lang w:val="en-US" w:eastAsia="en-GB"/>
              </w:rPr>
              <w:t>TP = 21; FP = 30; FN = 7; TN = 27</w:t>
            </w:r>
            <w:r w:rsidR="00650521" w:rsidRPr="00D16865">
              <w:rPr>
                <w:rFonts w:eastAsia="Times New Roman" w:cs="Arial"/>
                <w:lang w:val="en-US" w:eastAsia="en-GB"/>
              </w:rPr>
              <w:t xml:space="preserve"> </w:t>
            </w:r>
            <w:r w:rsidR="00650521" w:rsidRPr="00D16865">
              <w:rPr>
                <w:rFonts w:cs="Arial"/>
                <w:lang w:val="en-US"/>
              </w:rPr>
              <w:t>(Dr Landau’s email on 24/1/2013).</w:t>
            </w:r>
          </w:p>
          <w:p w:rsidR="00650521" w:rsidRPr="00D16865" w:rsidRDefault="00650521" w:rsidP="00734180">
            <w:pPr>
              <w:spacing w:after="120"/>
              <w:contextualSpacing/>
              <w:rPr>
                <w:rFonts w:eastAsia="Times New Roman" w:cs="Arial"/>
                <w:lang w:val="en-US" w:eastAsia="en-GB"/>
              </w:rPr>
            </w:pPr>
            <w:r w:rsidRPr="00D16865">
              <w:rPr>
                <w:rFonts w:cs="Arial"/>
                <w:lang w:val="en-US"/>
              </w:rPr>
              <w:t>Sensitivity 75%; specificity=47% (Calculated in RevMan5)</w:t>
            </w:r>
          </w:p>
          <w:p w:rsidR="006B0115" w:rsidRPr="00D16865" w:rsidRDefault="00734180" w:rsidP="007A1172">
            <w:pPr>
              <w:spacing w:after="120"/>
              <w:contextualSpacing/>
              <w:rPr>
                <w:rFonts w:eastAsia="Times New Roman" w:cs="Arial"/>
                <w:lang w:val="en-US" w:eastAsia="en-GB"/>
              </w:rPr>
            </w:pPr>
            <w:r w:rsidRPr="00D16865">
              <w:rPr>
                <w:rFonts w:eastAsia="Times New Roman" w:cs="Arial"/>
                <w:u w:val="single"/>
                <w:lang w:val="en-US" w:eastAsia="en-GB"/>
              </w:rPr>
              <w:t>Loss to follow-up</w:t>
            </w:r>
            <w:r w:rsidRPr="00D16865">
              <w:rPr>
                <w:rFonts w:eastAsia="Times New Roman" w:cs="Arial"/>
                <w:lang w:val="en-US" w:eastAsia="en-GB"/>
              </w:rPr>
              <w:t xml:space="preserve">: none; all 85 participants appear to </w:t>
            </w:r>
            <w:r w:rsidR="007A1172" w:rsidRPr="00D16865">
              <w:rPr>
                <w:rFonts w:eastAsia="Times New Roman" w:cs="Arial"/>
                <w:lang w:val="en-US" w:eastAsia="en-GB"/>
              </w:rPr>
              <w:t>be</w:t>
            </w:r>
            <w:r w:rsidR="00650521" w:rsidRPr="00D16865">
              <w:rPr>
                <w:rFonts w:eastAsia="Times New Roman" w:cs="Arial"/>
                <w:lang w:val="en-US" w:eastAsia="en-GB"/>
              </w:rPr>
              <w:t xml:space="preserve"> included in the analysis.</w:t>
            </w:r>
          </w:p>
        </w:tc>
      </w:tr>
      <w:tr w:rsidR="00660D37" w:rsidRPr="00D16865" w:rsidTr="0031616E">
        <w:tc>
          <w:tcPr>
            <w:tcW w:w="13948" w:type="dxa"/>
            <w:gridSpan w:val="2"/>
          </w:tcPr>
          <w:p w:rsidR="00284F24" w:rsidRPr="00D16865" w:rsidRDefault="002F4E2C">
            <w:pPr>
              <w:contextualSpacing/>
              <w:rPr>
                <w:b/>
                <w:lang w:val="en-US"/>
              </w:rPr>
            </w:pPr>
            <w:r w:rsidRPr="00D16865">
              <w:rPr>
                <w:b/>
                <w:lang w:val="en-US"/>
              </w:rPr>
              <w:t>Notes</w:t>
            </w:r>
          </w:p>
          <w:p w:rsidR="00660D37" w:rsidRPr="00D16865" w:rsidRDefault="00734180">
            <w:pPr>
              <w:contextualSpacing/>
              <w:rPr>
                <w:rFonts w:cs="Arial"/>
                <w:lang w:val="en-US"/>
              </w:rPr>
            </w:pPr>
            <w:r w:rsidRPr="00D16865">
              <w:rPr>
                <w:rFonts w:cs="Arial"/>
                <w:lang w:val="en-US"/>
              </w:rPr>
              <w:t>We contacted the trial investigat</w:t>
            </w:r>
            <w:r w:rsidR="0079333D" w:rsidRPr="00D16865">
              <w:rPr>
                <w:rFonts w:cs="Arial"/>
                <w:lang w:val="en-US"/>
              </w:rPr>
              <w:t>ors who provided relevant data f</w:t>
            </w:r>
            <w:r w:rsidRPr="00D16865">
              <w:rPr>
                <w:rFonts w:cs="Arial"/>
                <w:lang w:val="en-US"/>
              </w:rPr>
              <w:t>or the 2 x 2 table to be completed (</w:t>
            </w:r>
            <w:r w:rsidR="00650521" w:rsidRPr="00D16865">
              <w:rPr>
                <w:rFonts w:cs="Arial"/>
                <w:lang w:val="en-US"/>
              </w:rPr>
              <w:t>Dr Landau’s email on 24/1/</w:t>
            </w:r>
            <w:r w:rsidRPr="00D16865">
              <w:rPr>
                <w:rFonts w:cs="Arial"/>
                <w:lang w:val="en-US"/>
              </w:rPr>
              <w:t>2013).</w:t>
            </w:r>
          </w:p>
          <w:p w:rsidR="004105ED" w:rsidRPr="00D16865" w:rsidRDefault="005D0045">
            <w:pPr>
              <w:contextualSpacing/>
              <w:rPr>
                <w:lang w:val="en-US"/>
              </w:rPr>
            </w:pPr>
            <w:r w:rsidRPr="00D16865">
              <w:rPr>
                <w:b/>
                <w:lang w:val="en-US"/>
              </w:rPr>
              <w:t xml:space="preserve">Objective: </w:t>
            </w:r>
            <w:r w:rsidR="004105ED" w:rsidRPr="00D16865">
              <w:rPr>
                <w:lang w:val="en-US"/>
              </w:rPr>
              <w:t>to evaluate the prognostic ability of genetic, CSF, neuroimaging, and cognitive measurements obtained in the same participants; to compare predictors of conversion and decline in participants with MCI</w:t>
            </w:r>
          </w:p>
          <w:p w:rsidR="00734180" w:rsidRPr="00D16865" w:rsidRDefault="004105ED">
            <w:pPr>
              <w:contextualSpacing/>
              <w:rPr>
                <w:b/>
                <w:lang w:val="en-US"/>
              </w:rPr>
            </w:pPr>
            <w:r w:rsidRPr="00D16865">
              <w:rPr>
                <w:b/>
                <w:lang w:val="en-US"/>
              </w:rPr>
              <w:t>Conclusion</w:t>
            </w:r>
          </w:p>
          <w:p w:rsidR="0079333D" w:rsidRPr="00D16865" w:rsidRDefault="0079333D" w:rsidP="00996B7B">
            <w:pPr>
              <w:contextualSpacing/>
              <w:rPr>
                <w:lang w:val="en-US"/>
              </w:rPr>
            </w:pPr>
            <w:r w:rsidRPr="00D16865">
              <w:rPr>
                <w:lang w:val="en-US"/>
              </w:rPr>
              <w:t>“</w:t>
            </w:r>
            <w:r w:rsidR="00996B7B" w:rsidRPr="00D16865">
              <w:rPr>
                <w:lang w:val="en-US"/>
              </w:rPr>
              <w:t>In the</w:t>
            </w:r>
            <w:r w:rsidRPr="00D16865">
              <w:rPr>
                <w:lang w:val="en-US"/>
              </w:rPr>
              <w:t xml:space="preserve"> multivariate model </w:t>
            </w:r>
            <w:proofErr w:type="gramStart"/>
            <w:r w:rsidRPr="00D16865">
              <w:rPr>
                <w:lang w:val="en-US"/>
              </w:rPr>
              <w:t>only</w:t>
            </w:r>
            <w:proofErr w:type="gramEnd"/>
            <w:r w:rsidRPr="00D16865">
              <w:rPr>
                <w:lang w:val="en-US"/>
              </w:rPr>
              <w:t xml:space="preserve"> baseline </w:t>
            </w:r>
            <w:r w:rsidRPr="00D16865">
              <w:rPr>
                <w:rFonts w:cs="Arial"/>
                <w:lang w:val="en-US"/>
              </w:rPr>
              <w:t>¹</w:t>
            </w:r>
            <w:r w:rsidRPr="00D16865">
              <w:rPr>
                <w:rFonts w:cs="Cambria Math"/>
                <w:lang w:val="en-US"/>
              </w:rPr>
              <w:t>⁸</w:t>
            </w:r>
            <w:r w:rsidRPr="00D16865">
              <w:rPr>
                <w:rFonts w:cs="Arial"/>
                <w:lang w:val="en-US"/>
              </w:rPr>
              <w:t>F-FDG PET a</w:t>
            </w:r>
            <w:r w:rsidR="00996B7B" w:rsidRPr="00D16865">
              <w:rPr>
                <w:rFonts w:cs="Arial"/>
                <w:lang w:val="en-US"/>
              </w:rPr>
              <w:t>n</w:t>
            </w:r>
            <w:r w:rsidRPr="00D16865">
              <w:rPr>
                <w:rFonts w:cs="Arial"/>
                <w:lang w:val="en-US"/>
              </w:rPr>
              <w:t>d episodic memory predict conversion from MCI to AD</w:t>
            </w:r>
            <w:r w:rsidR="00996B7B" w:rsidRPr="00D16865">
              <w:rPr>
                <w:rFonts w:cs="Arial"/>
                <w:lang w:val="en-US"/>
              </w:rPr>
              <w:t>, whereas CSF p-tau</w:t>
            </w:r>
            <w:r w:rsidR="00996B7B" w:rsidRPr="00D16865">
              <w:rPr>
                <w:rFonts w:cs="Arial"/>
                <w:vertAlign w:val="subscript"/>
                <w:lang w:val="en-US"/>
              </w:rPr>
              <w:t>181p</w:t>
            </w:r>
            <w:r w:rsidR="00996B7B" w:rsidRPr="00D16865">
              <w:rPr>
                <w:rFonts w:cs="Arial"/>
                <w:lang w:val="en-US"/>
              </w:rPr>
              <w:t>/ ABeta</w:t>
            </w:r>
            <w:r w:rsidR="00996B7B" w:rsidRPr="00D16865">
              <w:rPr>
                <w:rFonts w:cs="Arial"/>
                <w:vertAlign w:val="subscript"/>
                <w:lang w:val="en-US"/>
              </w:rPr>
              <w:t>1-42</w:t>
            </w:r>
            <w:r w:rsidR="00996B7B" w:rsidRPr="00D16865">
              <w:rPr>
                <w:rFonts w:cs="Arial"/>
                <w:lang w:val="en-US"/>
              </w:rPr>
              <w:t xml:space="preserve"> and, marginally ¹</w:t>
            </w:r>
            <w:r w:rsidR="00996B7B" w:rsidRPr="00D16865">
              <w:rPr>
                <w:rFonts w:cs="Cambria Math"/>
                <w:lang w:val="en-US"/>
              </w:rPr>
              <w:t>⁸</w:t>
            </w:r>
            <w:r w:rsidR="00996B7B" w:rsidRPr="00D16865">
              <w:rPr>
                <w:rFonts w:cs="Arial"/>
                <w:lang w:val="en-US"/>
              </w:rPr>
              <w:t>F-FDG PET alone predict longitudinal cognitive decline.</w:t>
            </w:r>
            <w:r w:rsidRPr="00D16865">
              <w:rPr>
                <w:rFonts w:cs="Arial"/>
                <w:lang w:val="en-US"/>
              </w:rPr>
              <w:t>”</w:t>
            </w:r>
          </w:p>
        </w:tc>
      </w:tr>
      <w:tr w:rsidR="006B0115" w:rsidRPr="00D16865" w:rsidTr="0031616E">
        <w:tc>
          <w:tcPr>
            <w:tcW w:w="13948" w:type="dxa"/>
            <w:gridSpan w:val="2"/>
          </w:tcPr>
          <w:p w:rsidR="006B0115" w:rsidRPr="00D16865" w:rsidRDefault="006B0115">
            <w:pPr>
              <w:rPr>
                <w:b/>
                <w:lang w:val="en-US"/>
              </w:rPr>
            </w:pPr>
          </w:p>
        </w:tc>
      </w:tr>
      <w:tr w:rsidR="00660D37" w:rsidRPr="00D16865" w:rsidTr="0031616E">
        <w:tc>
          <w:tcPr>
            <w:tcW w:w="13948" w:type="dxa"/>
            <w:gridSpan w:val="2"/>
          </w:tcPr>
          <w:p w:rsidR="00660D37" w:rsidRPr="00D16865" w:rsidRDefault="00660D37" w:rsidP="003C3808">
            <w:pPr>
              <w:rPr>
                <w:b/>
                <w:lang w:val="en-US"/>
              </w:rPr>
            </w:pPr>
            <w:r w:rsidRPr="00D16865">
              <w:rPr>
                <w:b/>
                <w:lang w:val="en-US"/>
              </w:rPr>
              <w:t>Lange 2016</w:t>
            </w:r>
          </w:p>
        </w:tc>
      </w:tr>
      <w:tr w:rsidR="00660D37" w:rsidRPr="00D16865" w:rsidTr="0031616E">
        <w:tc>
          <w:tcPr>
            <w:tcW w:w="2771" w:type="dxa"/>
          </w:tcPr>
          <w:p w:rsidR="00660D37" w:rsidRPr="00D16865" w:rsidRDefault="00660D37" w:rsidP="006B0115">
            <w:pPr>
              <w:rPr>
                <w:b/>
                <w:lang w:val="en-US"/>
              </w:rPr>
            </w:pPr>
            <w:r w:rsidRPr="00D16865">
              <w:rPr>
                <w:b/>
                <w:lang w:val="en-US"/>
              </w:rPr>
              <w:t>Patient sampling</w:t>
            </w:r>
          </w:p>
        </w:tc>
        <w:tc>
          <w:tcPr>
            <w:tcW w:w="11177" w:type="dxa"/>
          </w:tcPr>
          <w:p w:rsidR="00660D37" w:rsidRPr="00D16865" w:rsidRDefault="00660D37" w:rsidP="006B0115">
            <w:pPr>
              <w:contextualSpacing/>
              <w:rPr>
                <w:lang w:val="en-US"/>
              </w:rPr>
            </w:pPr>
            <w:r w:rsidRPr="00D16865">
              <w:rPr>
                <w:u w:val="single"/>
                <w:lang w:val="en-US"/>
              </w:rPr>
              <w:t>Study design:</w:t>
            </w:r>
            <w:r w:rsidRPr="00D16865">
              <w:rPr>
                <w:lang w:val="en-US"/>
              </w:rPr>
              <w:t xml:space="preserve"> </w:t>
            </w:r>
            <w:r w:rsidR="003935F2" w:rsidRPr="00D16865">
              <w:rPr>
                <w:lang w:val="en-US"/>
              </w:rPr>
              <w:t xml:space="preserve">nested case-control study; </w:t>
            </w:r>
            <w:r w:rsidR="00557B9D" w:rsidRPr="00D16865">
              <w:rPr>
                <w:lang w:val="en-US"/>
              </w:rPr>
              <w:t>retrospective analysis of longitudinal data from ADNI database</w:t>
            </w:r>
          </w:p>
          <w:p w:rsidR="00660D37" w:rsidRPr="00D16865" w:rsidRDefault="003C3808" w:rsidP="006B0115">
            <w:pPr>
              <w:contextualSpacing/>
              <w:rPr>
                <w:lang w:val="en-US"/>
              </w:rPr>
            </w:pPr>
            <w:r w:rsidRPr="00D16865">
              <w:rPr>
                <w:rFonts w:eastAsia="Times New Roman" w:cs="Arial"/>
                <w:lang w:val="en-US" w:eastAsia="en-GB"/>
              </w:rPr>
              <w:t>Participants with MCI</w:t>
            </w:r>
            <w:r w:rsidR="00B02AB6" w:rsidRPr="00D16865">
              <w:rPr>
                <w:rFonts w:eastAsia="Times New Roman" w:cs="Arial"/>
                <w:lang w:val="en-US" w:eastAsia="en-GB"/>
              </w:rPr>
              <w:t xml:space="preserve">, </w:t>
            </w:r>
            <w:r w:rsidRPr="00D16865">
              <w:rPr>
                <w:rFonts w:eastAsia="Times New Roman" w:cs="Arial"/>
                <w:lang w:val="en-US" w:eastAsia="en-GB"/>
              </w:rPr>
              <w:t xml:space="preserve">AD </w:t>
            </w:r>
            <w:r w:rsidR="00B02AB6" w:rsidRPr="00D16865">
              <w:rPr>
                <w:rFonts w:eastAsia="Times New Roman" w:cs="Arial"/>
                <w:lang w:val="en-US" w:eastAsia="en-GB"/>
              </w:rPr>
              <w:t xml:space="preserve">participants </w:t>
            </w:r>
            <w:r w:rsidRPr="00D16865">
              <w:rPr>
                <w:rFonts w:eastAsia="Times New Roman" w:cs="Arial"/>
                <w:lang w:val="en-US" w:eastAsia="en-GB"/>
              </w:rPr>
              <w:t xml:space="preserve">and healthy controls </w:t>
            </w:r>
            <w:r w:rsidRPr="00D16865">
              <w:rPr>
                <w:rFonts w:cs="Arial"/>
                <w:lang w:val="en-US"/>
              </w:rPr>
              <w:t xml:space="preserve">were recruited from the ADNI. </w:t>
            </w:r>
            <w:r w:rsidRPr="00D16865">
              <w:rPr>
                <w:lang w:val="en-US"/>
              </w:rPr>
              <w:t xml:space="preserve"> </w:t>
            </w:r>
          </w:p>
          <w:p w:rsidR="003C3808" w:rsidRPr="00D16865" w:rsidRDefault="00660D37" w:rsidP="003C3808">
            <w:pPr>
              <w:spacing w:after="120"/>
              <w:contextualSpacing/>
              <w:rPr>
                <w:rFonts w:eastAsia="Times New Roman" w:cs="Arial"/>
                <w:lang w:val="en-US" w:eastAsia="en-GB"/>
              </w:rPr>
            </w:pPr>
            <w:r w:rsidRPr="00D16865">
              <w:rPr>
                <w:rFonts w:eastAsia="Times New Roman" w:cs="Arial"/>
                <w:lang w:val="en-US" w:eastAsia="en-GB"/>
              </w:rPr>
              <w:t>We only included data on performance of the index test to discriminate between patients with MCI who convert to dementia</w:t>
            </w:r>
            <w:r w:rsidR="003C3808" w:rsidRPr="00D16865">
              <w:rPr>
                <w:rFonts w:eastAsia="Times New Roman" w:cs="Arial"/>
                <w:lang w:val="en-US" w:eastAsia="en-GB"/>
              </w:rPr>
              <w:t xml:space="preserve"> and those who remained stable.</w:t>
            </w:r>
          </w:p>
          <w:p w:rsidR="00660D37" w:rsidRPr="00D16865" w:rsidRDefault="00660D37" w:rsidP="003C3808">
            <w:pPr>
              <w:spacing w:after="120"/>
              <w:contextualSpacing/>
              <w:rPr>
                <w:rFonts w:eastAsia="Times New Roman" w:cs="Arial"/>
                <w:lang w:val="en-US" w:eastAsia="en-GB"/>
              </w:rPr>
            </w:pPr>
            <w:r w:rsidRPr="00D16865">
              <w:rPr>
                <w:rFonts w:cs="Arial"/>
                <w:u w:val="single"/>
                <w:lang w:val="en-US"/>
              </w:rPr>
              <w:t>Exclusion criteria</w:t>
            </w:r>
            <w:r w:rsidRPr="00D16865">
              <w:rPr>
                <w:rFonts w:cs="Arial"/>
                <w:lang w:val="en-US"/>
              </w:rPr>
              <w:t>: conversion to non-AD dementia</w:t>
            </w:r>
          </w:p>
        </w:tc>
      </w:tr>
      <w:tr w:rsidR="00660D37" w:rsidRPr="00D16865" w:rsidTr="0031616E">
        <w:tc>
          <w:tcPr>
            <w:tcW w:w="2771" w:type="dxa"/>
          </w:tcPr>
          <w:p w:rsidR="00660D37" w:rsidRPr="00D16865" w:rsidRDefault="00660D37" w:rsidP="006B0115">
            <w:pPr>
              <w:rPr>
                <w:b/>
                <w:lang w:val="en-US"/>
              </w:rPr>
            </w:pPr>
            <w:r w:rsidRPr="00D16865">
              <w:rPr>
                <w:b/>
                <w:lang w:val="en-US"/>
              </w:rPr>
              <w:t>Patient characteristics and settings</w:t>
            </w:r>
          </w:p>
        </w:tc>
        <w:tc>
          <w:tcPr>
            <w:tcW w:w="11177" w:type="dxa"/>
          </w:tcPr>
          <w:p w:rsidR="000A343E" w:rsidRPr="00D16865" w:rsidRDefault="000A343E" w:rsidP="006B0115">
            <w:pPr>
              <w:spacing w:after="120"/>
              <w:contextualSpacing/>
              <w:rPr>
                <w:lang w:val="en-US"/>
              </w:rPr>
            </w:pPr>
            <w:r w:rsidRPr="00D16865">
              <w:rPr>
                <w:lang w:val="en-US"/>
              </w:rPr>
              <w:t>Diagnostic criteria for MCI not reported.</w:t>
            </w:r>
          </w:p>
          <w:p w:rsidR="00660D37" w:rsidRPr="00D16865" w:rsidRDefault="00660D37" w:rsidP="006B0115">
            <w:pPr>
              <w:spacing w:after="120"/>
              <w:contextualSpacing/>
              <w:rPr>
                <w:rFonts w:eastAsia="Times New Roman" w:cs="Arial"/>
                <w:u w:val="single"/>
                <w:lang w:val="en-US" w:eastAsia="en-GB"/>
              </w:rPr>
            </w:pPr>
            <w:r w:rsidRPr="00D16865">
              <w:rPr>
                <w:u w:val="single"/>
                <w:lang w:val="en-US"/>
              </w:rPr>
              <w:t>Original sample</w:t>
            </w:r>
            <w:r w:rsidRPr="00D16865">
              <w:rPr>
                <w:lang w:val="en-US"/>
              </w:rPr>
              <w:t>: 108 MCI: 31 MCI-AD and 77 MCI-MCI</w:t>
            </w:r>
            <w:r w:rsidRPr="00D16865">
              <w:rPr>
                <w:rFonts w:eastAsia="Times New Roman" w:cs="Arial"/>
                <w:lang w:val="en-US" w:eastAsia="en-GB"/>
              </w:rPr>
              <w:t xml:space="preserve"> </w:t>
            </w:r>
            <w:r w:rsidR="00303A3C" w:rsidRPr="00D16865">
              <w:rPr>
                <w:rFonts w:eastAsia="Times New Roman" w:cs="Arial"/>
                <w:lang w:val="en-US" w:eastAsia="en-GB"/>
              </w:rPr>
              <w:t>(downloaded from the ADNI database in March 2014)</w:t>
            </w:r>
          </w:p>
          <w:p w:rsidR="00660D37" w:rsidRPr="00D16865" w:rsidRDefault="00660D37" w:rsidP="006B0115">
            <w:pPr>
              <w:spacing w:after="120"/>
              <w:contextualSpacing/>
              <w:rPr>
                <w:rFonts w:eastAsia="Times New Roman" w:cs="Arial"/>
                <w:lang w:val="en-US" w:eastAsia="en-GB"/>
              </w:rPr>
            </w:pPr>
            <w:r w:rsidRPr="00D16865">
              <w:rPr>
                <w:rFonts w:eastAsia="Times New Roman" w:cs="Arial"/>
                <w:u w:val="single"/>
                <w:lang w:val="en-US" w:eastAsia="en-GB"/>
              </w:rPr>
              <w:t xml:space="preserve">Gender: </w:t>
            </w:r>
            <w:r w:rsidRPr="00D16865">
              <w:rPr>
                <w:rFonts w:eastAsia="Times New Roman" w:cs="Arial"/>
                <w:lang w:val="en-US" w:eastAsia="en-GB"/>
              </w:rPr>
              <w:t xml:space="preserve"> MCI-converters: 12 women, 19 men; MCI-non-converters: 23 women, 54 men</w:t>
            </w:r>
          </w:p>
          <w:p w:rsidR="00660D37" w:rsidRPr="00D16865" w:rsidRDefault="00660D37" w:rsidP="006B0115">
            <w:pPr>
              <w:spacing w:after="120"/>
              <w:contextualSpacing/>
              <w:rPr>
                <w:rFonts w:eastAsia="Times New Roman" w:cs="Arial"/>
                <w:lang w:val="en-US" w:eastAsia="en-GB"/>
              </w:rPr>
            </w:pPr>
            <w:r w:rsidRPr="00D16865">
              <w:rPr>
                <w:rFonts w:eastAsia="Times New Roman" w:cs="Arial"/>
                <w:u w:val="single"/>
                <w:lang w:val="en-US" w:eastAsia="en-GB"/>
              </w:rPr>
              <w:t>Age</w:t>
            </w:r>
            <w:r w:rsidR="001C7711" w:rsidRPr="00D16865">
              <w:rPr>
                <w:rFonts w:eastAsia="Times New Roman" w:cs="Arial"/>
                <w:u w:val="single"/>
                <w:lang w:val="en-US" w:eastAsia="en-GB"/>
              </w:rPr>
              <w:t xml:space="preserve"> (y)</w:t>
            </w:r>
            <w:r w:rsidRPr="00D16865">
              <w:rPr>
                <w:rFonts w:eastAsia="Times New Roman" w:cs="Arial"/>
                <w:u w:val="single"/>
                <w:lang w:val="en-US" w:eastAsia="en-GB"/>
              </w:rPr>
              <w:t>:</w:t>
            </w:r>
            <w:r w:rsidRPr="00D16865">
              <w:rPr>
                <w:rFonts w:eastAsia="Times New Roman" w:cs="Arial"/>
                <w:lang w:val="en-US" w:eastAsia="en-GB"/>
              </w:rPr>
              <w:t xml:space="preserve"> MCI converters 74.7±6.4 years; MCI-non-converters 74.5± 7.7years</w:t>
            </w:r>
          </w:p>
          <w:p w:rsidR="00660D37" w:rsidRPr="00D16865" w:rsidRDefault="00660D37" w:rsidP="006B0115">
            <w:pPr>
              <w:spacing w:after="120"/>
              <w:contextualSpacing/>
              <w:rPr>
                <w:rFonts w:eastAsia="Times New Roman" w:cs="Arial"/>
                <w:lang w:val="en-US" w:eastAsia="en-GB"/>
              </w:rPr>
            </w:pPr>
            <w:r w:rsidRPr="00D16865">
              <w:rPr>
                <w:rFonts w:eastAsia="Times New Roman" w:cs="Arial"/>
                <w:u w:val="single"/>
                <w:lang w:val="en-US" w:eastAsia="en-GB"/>
              </w:rPr>
              <w:t>APOE ε4 carrier:</w:t>
            </w:r>
            <w:r w:rsidRPr="00D16865">
              <w:rPr>
                <w:rFonts w:eastAsia="Times New Roman" w:cs="Arial"/>
                <w:lang w:val="en-US" w:eastAsia="en-GB"/>
              </w:rPr>
              <w:t xml:space="preserve"> not reported</w:t>
            </w:r>
          </w:p>
          <w:p w:rsidR="00660D37" w:rsidRPr="00D16865" w:rsidRDefault="00660D37" w:rsidP="006B0115">
            <w:pPr>
              <w:spacing w:after="120"/>
              <w:contextualSpacing/>
              <w:rPr>
                <w:rFonts w:eastAsia="Times New Roman" w:cs="Arial"/>
                <w:lang w:val="en-US" w:eastAsia="en-GB"/>
              </w:rPr>
            </w:pPr>
            <w:r w:rsidRPr="00D16865">
              <w:rPr>
                <w:rFonts w:eastAsia="Times New Roman" w:cs="Arial"/>
                <w:u w:val="single"/>
                <w:lang w:val="en-US" w:eastAsia="en-GB"/>
              </w:rPr>
              <w:t>MMSE:</w:t>
            </w:r>
            <w:r w:rsidRPr="00D16865">
              <w:rPr>
                <w:rFonts w:eastAsia="Times New Roman" w:cs="Arial"/>
                <w:lang w:val="en-US" w:eastAsia="en-GB"/>
              </w:rPr>
              <w:t xml:space="preserve"> MCI converters 27.1±1.4; MCI-non-converters 27.7±1.6</w:t>
            </w:r>
          </w:p>
          <w:p w:rsidR="00660D37" w:rsidRPr="00D16865" w:rsidRDefault="00660D37" w:rsidP="006B0115">
            <w:pPr>
              <w:spacing w:after="120"/>
              <w:contextualSpacing/>
              <w:rPr>
                <w:rFonts w:eastAsia="Times New Roman" w:cs="Arial"/>
                <w:lang w:val="en-US" w:eastAsia="en-GB"/>
              </w:rPr>
            </w:pPr>
            <w:r w:rsidRPr="00D16865">
              <w:rPr>
                <w:rFonts w:eastAsia="Times New Roman" w:cs="Arial"/>
                <w:u w:val="single"/>
                <w:lang w:val="en-US" w:eastAsia="en-GB"/>
              </w:rPr>
              <w:lastRenderedPageBreak/>
              <w:t>Education</w:t>
            </w:r>
            <w:r w:rsidR="001C7711" w:rsidRPr="00D16865">
              <w:rPr>
                <w:rFonts w:eastAsia="Times New Roman" w:cs="Arial"/>
                <w:u w:val="single"/>
                <w:lang w:val="en-US" w:eastAsia="en-GB"/>
              </w:rPr>
              <w:t xml:space="preserve"> (y)</w:t>
            </w:r>
            <w:r w:rsidRPr="00D16865">
              <w:rPr>
                <w:rFonts w:eastAsia="Times New Roman" w:cs="Arial"/>
                <w:u w:val="single"/>
                <w:lang w:val="en-US" w:eastAsia="en-GB"/>
              </w:rPr>
              <w:t>:</w:t>
            </w:r>
            <w:r w:rsidRPr="00D16865">
              <w:rPr>
                <w:rFonts w:eastAsia="Times New Roman" w:cs="Arial"/>
                <w:lang w:val="en-US" w:eastAsia="en-GB"/>
              </w:rPr>
              <w:t xml:space="preserve"> MCI converters 15.8±3.0 years; non-MCI converters 16.0±2.7 years</w:t>
            </w:r>
          </w:p>
          <w:p w:rsidR="00660D37" w:rsidRPr="00D16865" w:rsidRDefault="00660D37" w:rsidP="006B0115">
            <w:pPr>
              <w:spacing w:after="120"/>
              <w:contextualSpacing/>
              <w:rPr>
                <w:rFonts w:eastAsia="Times New Roman" w:cs="Arial"/>
                <w:lang w:val="en-US" w:eastAsia="en-GB"/>
              </w:rPr>
            </w:pPr>
            <w:r w:rsidRPr="00D16865">
              <w:rPr>
                <w:rFonts w:eastAsia="Times New Roman" w:cs="Arial"/>
                <w:u w:val="single"/>
                <w:lang w:val="en-US" w:eastAsia="en-GB"/>
              </w:rPr>
              <w:t>Sources of referral:</w:t>
            </w:r>
            <w:r w:rsidRPr="00D16865">
              <w:rPr>
                <w:rFonts w:eastAsia="Times New Roman" w:cs="Arial"/>
                <w:lang w:val="en-US" w:eastAsia="en-GB"/>
              </w:rPr>
              <w:t xml:space="preserve"> not reported</w:t>
            </w:r>
          </w:p>
          <w:p w:rsidR="00660D37" w:rsidRPr="00D16865" w:rsidRDefault="00660D37" w:rsidP="006B0115">
            <w:pPr>
              <w:spacing w:after="120"/>
              <w:contextualSpacing/>
              <w:rPr>
                <w:rFonts w:eastAsia="Times New Roman" w:cs="Arial"/>
                <w:lang w:val="en-US" w:eastAsia="en-GB"/>
              </w:rPr>
            </w:pPr>
            <w:r w:rsidRPr="00D16865">
              <w:rPr>
                <w:rFonts w:eastAsia="Times New Roman" w:cs="Arial"/>
                <w:u w:val="single"/>
                <w:lang w:val="en-US" w:eastAsia="en-GB"/>
              </w:rPr>
              <w:t>Setting:</w:t>
            </w:r>
            <w:r w:rsidRPr="00D16865">
              <w:rPr>
                <w:rFonts w:eastAsia="Times New Roman" w:cs="Arial"/>
                <w:lang w:val="en-US" w:eastAsia="en-GB"/>
              </w:rPr>
              <w:t xml:space="preserve"> </w:t>
            </w:r>
            <w:r w:rsidR="004C661D" w:rsidRPr="00D16865">
              <w:rPr>
                <w:rFonts w:eastAsia="Times New Roman" w:cs="Arial"/>
                <w:lang w:val="en-US" w:eastAsia="en-GB"/>
              </w:rPr>
              <w:t>multicenter</w:t>
            </w:r>
          </w:p>
          <w:p w:rsidR="00660D37" w:rsidRPr="00D16865" w:rsidRDefault="00660D37" w:rsidP="006B0115">
            <w:pPr>
              <w:spacing w:after="120"/>
              <w:contextualSpacing/>
              <w:rPr>
                <w:rFonts w:eastAsia="Times New Roman" w:cs="Arial"/>
                <w:lang w:val="en-US" w:eastAsia="en-GB"/>
              </w:rPr>
            </w:pPr>
          </w:p>
          <w:p w:rsidR="00660D37" w:rsidRPr="00D16865" w:rsidRDefault="00660D37" w:rsidP="006B0115">
            <w:pPr>
              <w:spacing w:after="120"/>
              <w:contextualSpacing/>
              <w:rPr>
                <w:rFonts w:eastAsia="Times New Roman" w:cs="Arial"/>
                <w:u w:val="single"/>
                <w:lang w:val="en-US" w:eastAsia="en-GB"/>
              </w:rPr>
            </w:pPr>
            <w:r w:rsidRPr="00D16865">
              <w:rPr>
                <w:u w:val="single"/>
                <w:lang w:val="en-US"/>
              </w:rPr>
              <w:t>Validation sample</w:t>
            </w:r>
            <w:r w:rsidRPr="00D16865">
              <w:rPr>
                <w:lang w:val="en-US"/>
              </w:rPr>
              <w:t xml:space="preserve">: </w:t>
            </w:r>
            <w:r w:rsidR="00360FF9" w:rsidRPr="00D16865">
              <w:rPr>
                <w:lang w:val="en-US"/>
              </w:rPr>
              <w:t>241</w:t>
            </w:r>
            <w:r w:rsidRPr="00D16865">
              <w:rPr>
                <w:lang w:val="en-US"/>
              </w:rPr>
              <w:t xml:space="preserve"> MCI: </w:t>
            </w:r>
            <w:r w:rsidR="00360FF9" w:rsidRPr="00D16865">
              <w:rPr>
                <w:lang w:val="en-US"/>
              </w:rPr>
              <w:t>60</w:t>
            </w:r>
            <w:r w:rsidRPr="00D16865">
              <w:rPr>
                <w:lang w:val="en-US"/>
              </w:rPr>
              <w:t xml:space="preserve"> MCI-AD and </w:t>
            </w:r>
            <w:r w:rsidR="00360FF9" w:rsidRPr="00D16865">
              <w:rPr>
                <w:lang w:val="en-US"/>
              </w:rPr>
              <w:t>181</w:t>
            </w:r>
            <w:r w:rsidRPr="00D16865">
              <w:rPr>
                <w:b/>
                <w:lang w:val="en-US"/>
              </w:rPr>
              <w:t xml:space="preserve"> </w:t>
            </w:r>
            <w:r w:rsidRPr="00D16865">
              <w:rPr>
                <w:lang w:val="en-US"/>
              </w:rPr>
              <w:t>MCI-MCI</w:t>
            </w:r>
            <w:r w:rsidRPr="00D16865">
              <w:rPr>
                <w:rFonts w:eastAsia="Times New Roman" w:cs="Arial"/>
                <w:lang w:val="en-US" w:eastAsia="en-GB"/>
              </w:rPr>
              <w:t xml:space="preserve"> </w:t>
            </w:r>
            <w:r w:rsidR="00303A3C" w:rsidRPr="00D16865">
              <w:rPr>
                <w:rFonts w:eastAsia="Times New Roman" w:cs="Arial"/>
                <w:lang w:val="en-US" w:eastAsia="en-GB"/>
              </w:rPr>
              <w:t>(downloaded from the ADNI database in August 2015)</w:t>
            </w:r>
          </w:p>
          <w:p w:rsidR="00660D37" w:rsidRPr="00D16865" w:rsidRDefault="00660D37" w:rsidP="006B0115">
            <w:pPr>
              <w:spacing w:after="120"/>
              <w:contextualSpacing/>
              <w:rPr>
                <w:rFonts w:eastAsia="Times New Roman" w:cs="Arial"/>
                <w:lang w:val="en-US" w:eastAsia="en-GB"/>
              </w:rPr>
            </w:pPr>
            <w:r w:rsidRPr="00D16865">
              <w:rPr>
                <w:rFonts w:eastAsia="Times New Roman" w:cs="Arial"/>
                <w:u w:val="single"/>
                <w:lang w:val="en-US" w:eastAsia="en-GB"/>
              </w:rPr>
              <w:t xml:space="preserve">Gender: </w:t>
            </w:r>
            <w:r w:rsidRPr="00D16865">
              <w:rPr>
                <w:rFonts w:eastAsia="Times New Roman" w:cs="Arial"/>
                <w:lang w:val="en-US" w:eastAsia="en-GB"/>
              </w:rPr>
              <w:t xml:space="preserve"> MCI-converters: 23 women, 37 men; MCI-non-converters: 86 women, 95 men</w:t>
            </w:r>
          </w:p>
          <w:p w:rsidR="00660D37" w:rsidRPr="00D16865" w:rsidRDefault="00660D37" w:rsidP="006B0115">
            <w:pPr>
              <w:spacing w:after="120"/>
              <w:contextualSpacing/>
              <w:rPr>
                <w:rFonts w:eastAsia="Times New Roman" w:cs="Arial"/>
                <w:lang w:val="en-US" w:eastAsia="en-GB"/>
              </w:rPr>
            </w:pPr>
            <w:r w:rsidRPr="00D16865">
              <w:rPr>
                <w:rFonts w:eastAsia="Times New Roman" w:cs="Arial"/>
                <w:u w:val="single"/>
                <w:lang w:val="en-US" w:eastAsia="en-GB"/>
              </w:rPr>
              <w:t>Age</w:t>
            </w:r>
            <w:r w:rsidR="001C7711" w:rsidRPr="00D16865">
              <w:rPr>
                <w:rFonts w:eastAsia="Times New Roman" w:cs="Arial"/>
                <w:u w:val="single"/>
                <w:lang w:val="en-US" w:eastAsia="en-GB"/>
              </w:rPr>
              <w:t xml:space="preserve"> (y)</w:t>
            </w:r>
            <w:r w:rsidRPr="00D16865">
              <w:rPr>
                <w:rFonts w:eastAsia="Times New Roman" w:cs="Arial"/>
                <w:u w:val="single"/>
                <w:lang w:val="en-US" w:eastAsia="en-GB"/>
              </w:rPr>
              <w:t>:</w:t>
            </w:r>
            <w:r w:rsidRPr="00D16865">
              <w:rPr>
                <w:rFonts w:eastAsia="Times New Roman" w:cs="Arial"/>
                <w:lang w:val="en-US" w:eastAsia="en-GB"/>
              </w:rPr>
              <w:t xml:space="preserve"> MCI converters 73.7±6.5 years; MCI-non-converters 70.5±7.2 years</w:t>
            </w:r>
          </w:p>
          <w:p w:rsidR="00660D37" w:rsidRPr="00D16865" w:rsidRDefault="00660D37" w:rsidP="006B0115">
            <w:pPr>
              <w:spacing w:after="120"/>
              <w:contextualSpacing/>
              <w:rPr>
                <w:rFonts w:eastAsia="Times New Roman" w:cs="Arial"/>
                <w:lang w:val="en-US" w:eastAsia="en-GB"/>
              </w:rPr>
            </w:pPr>
            <w:r w:rsidRPr="00D16865">
              <w:rPr>
                <w:rFonts w:eastAsia="Times New Roman" w:cs="Arial"/>
                <w:u w:val="single"/>
                <w:lang w:val="en-US" w:eastAsia="en-GB"/>
              </w:rPr>
              <w:t>APOE ε4 carrier:</w:t>
            </w:r>
            <w:r w:rsidRPr="00D16865">
              <w:rPr>
                <w:rFonts w:eastAsia="Times New Roman" w:cs="Arial"/>
                <w:lang w:val="en-US" w:eastAsia="en-GB"/>
              </w:rPr>
              <w:t xml:space="preserve"> not reported</w:t>
            </w:r>
          </w:p>
          <w:p w:rsidR="00660D37" w:rsidRPr="00D16865" w:rsidRDefault="00660D37" w:rsidP="006B0115">
            <w:pPr>
              <w:spacing w:after="120"/>
              <w:contextualSpacing/>
              <w:rPr>
                <w:rFonts w:eastAsia="Times New Roman" w:cs="Arial"/>
                <w:lang w:val="en-US" w:eastAsia="en-GB"/>
              </w:rPr>
            </w:pPr>
            <w:r w:rsidRPr="00D16865">
              <w:rPr>
                <w:rFonts w:eastAsia="Times New Roman" w:cs="Arial"/>
                <w:u w:val="single"/>
                <w:lang w:val="en-US" w:eastAsia="en-GB"/>
              </w:rPr>
              <w:t>MMSE:</w:t>
            </w:r>
            <w:r w:rsidRPr="00D16865">
              <w:rPr>
                <w:rFonts w:eastAsia="Times New Roman" w:cs="Arial"/>
                <w:lang w:val="en-US" w:eastAsia="en-GB"/>
              </w:rPr>
              <w:t xml:space="preserve"> MCI converters 27.2±1.7; MCI-non-converters 28.2±1.6</w:t>
            </w:r>
          </w:p>
          <w:p w:rsidR="00660D37" w:rsidRPr="00D16865" w:rsidRDefault="00660D37" w:rsidP="006B0115">
            <w:pPr>
              <w:spacing w:after="120"/>
              <w:contextualSpacing/>
              <w:rPr>
                <w:rFonts w:eastAsia="Times New Roman" w:cs="Arial"/>
                <w:lang w:val="en-US" w:eastAsia="en-GB"/>
              </w:rPr>
            </w:pPr>
            <w:r w:rsidRPr="00D16865">
              <w:rPr>
                <w:rFonts w:eastAsia="Times New Roman" w:cs="Arial"/>
                <w:u w:val="single"/>
                <w:lang w:val="en-US" w:eastAsia="en-GB"/>
              </w:rPr>
              <w:t>Education</w:t>
            </w:r>
            <w:r w:rsidR="001C7711" w:rsidRPr="00D16865">
              <w:rPr>
                <w:rFonts w:eastAsia="Times New Roman" w:cs="Arial"/>
                <w:u w:val="single"/>
                <w:lang w:val="en-US" w:eastAsia="en-GB"/>
              </w:rPr>
              <w:t xml:space="preserve"> (y)</w:t>
            </w:r>
            <w:r w:rsidRPr="00D16865">
              <w:rPr>
                <w:rFonts w:eastAsia="Times New Roman" w:cs="Arial"/>
                <w:u w:val="single"/>
                <w:lang w:val="en-US" w:eastAsia="en-GB"/>
              </w:rPr>
              <w:t>:</w:t>
            </w:r>
            <w:r w:rsidRPr="00D16865">
              <w:rPr>
                <w:rFonts w:eastAsia="Times New Roman" w:cs="Arial"/>
                <w:lang w:val="en-US" w:eastAsia="en-GB"/>
              </w:rPr>
              <w:t xml:space="preserve"> MCI converters 16.2±2.7 years; non-MCI converters 16.3±2.6 years</w:t>
            </w:r>
          </w:p>
          <w:p w:rsidR="00660D37" w:rsidRPr="00D16865" w:rsidRDefault="00660D37" w:rsidP="006B0115">
            <w:pPr>
              <w:spacing w:after="120"/>
              <w:contextualSpacing/>
              <w:rPr>
                <w:rFonts w:eastAsia="Times New Roman" w:cs="Arial"/>
                <w:lang w:val="en-US" w:eastAsia="en-GB"/>
              </w:rPr>
            </w:pPr>
            <w:r w:rsidRPr="00D16865">
              <w:rPr>
                <w:rFonts w:eastAsia="Times New Roman" w:cs="Arial"/>
                <w:u w:val="single"/>
                <w:lang w:val="en-US" w:eastAsia="en-GB"/>
              </w:rPr>
              <w:t>Sources of referral:</w:t>
            </w:r>
            <w:r w:rsidRPr="00D16865">
              <w:rPr>
                <w:rFonts w:eastAsia="Times New Roman" w:cs="Arial"/>
                <w:lang w:val="en-US" w:eastAsia="en-GB"/>
              </w:rPr>
              <w:t xml:space="preserve"> not reported</w:t>
            </w:r>
          </w:p>
          <w:p w:rsidR="00660D37" w:rsidRPr="00D16865" w:rsidRDefault="00660D37" w:rsidP="006B0115">
            <w:pPr>
              <w:spacing w:after="120"/>
              <w:contextualSpacing/>
              <w:rPr>
                <w:rFonts w:eastAsia="Times New Roman" w:cs="Arial"/>
                <w:lang w:val="en-US" w:eastAsia="en-GB"/>
              </w:rPr>
            </w:pPr>
            <w:r w:rsidRPr="00D16865">
              <w:rPr>
                <w:rFonts w:eastAsia="Times New Roman" w:cs="Arial"/>
                <w:u w:val="single"/>
                <w:lang w:val="en-US" w:eastAsia="en-GB"/>
              </w:rPr>
              <w:t>Setting:</w:t>
            </w:r>
            <w:r w:rsidRPr="00D16865">
              <w:rPr>
                <w:rFonts w:eastAsia="Times New Roman" w:cs="Arial"/>
                <w:lang w:val="en-US" w:eastAsia="en-GB"/>
              </w:rPr>
              <w:t xml:space="preserve"> </w:t>
            </w:r>
            <w:r w:rsidR="004C661D" w:rsidRPr="00D16865">
              <w:rPr>
                <w:rFonts w:eastAsia="Times New Roman" w:cs="Arial"/>
                <w:lang w:val="en-US" w:eastAsia="en-GB"/>
              </w:rPr>
              <w:t>multicenter</w:t>
            </w:r>
          </w:p>
        </w:tc>
      </w:tr>
      <w:tr w:rsidR="00660D37" w:rsidRPr="00D16865" w:rsidTr="0031616E">
        <w:tc>
          <w:tcPr>
            <w:tcW w:w="2771" w:type="dxa"/>
          </w:tcPr>
          <w:p w:rsidR="00660D37" w:rsidRPr="00D16865" w:rsidRDefault="00660D37" w:rsidP="006B0115">
            <w:pPr>
              <w:rPr>
                <w:b/>
                <w:lang w:val="en-US"/>
              </w:rPr>
            </w:pPr>
            <w:r w:rsidRPr="00D16865">
              <w:rPr>
                <w:b/>
                <w:lang w:val="en-US"/>
              </w:rPr>
              <w:lastRenderedPageBreak/>
              <w:t>Index test</w:t>
            </w:r>
          </w:p>
        </w:tc>
        <w:tc>
          <w:tcPr>
            <w:tcW w:w="11177" w:type="dxa"/>
          </w:tcPr>
          <w:p w:rsidR="00660D37" w:rsidRPr="00D16865" w:rsidRDefault="00660D37" w:rsidP="006B0115">
            <w:pPr>
              <w:autoSpaceDE w:val="0"/>
              <w:autoSpaceDN w:val="0"/>
              <w:adjustRightInd w:val="0"/>
              <w:rPr>
                <w:rFonts w:cs="Times-Roman"/>
                <w:lang w:val="en-US"/>
              </w:rPr>
            </w:pPr>
            <w:r w:rsidRPr="00D16865">
              <w:rPr>
                <w:lang w:val="en-US"/>
              </w:rPr>
              <w:t>[</w:t>
            </w:r>
            <w:r w:rsidRPr="00D16865">
              <w:rPr>
                <w:vertAlign w:val="superscript"/>
                <w:lang w:val="en-US"/>
              </w:rPr>
              <w:t>18</w:t>
            </w:r>
            <w:proofErr w:type="gramStart"/>
            <w:r w:rsidRPr="00D16865">
              <w:rPr>
                <w:lang w:val="en-US"/>
              </w:rPr>
              <w:t>F]FDG</w:t>
            </w:r>
            <w:proofErr w:type="gramEnd"/>
            <w:r w:rsidRPr="00D16865">
              <w:rPr>
                <w:lang w:val="en-US"/>
              </w:rPr>
              <w:t xml:space="preserve"> PET</w:t>
            </w:r>
            <w:r w:rsidRPr="00D16865">
              <w:rPr>
                <w:rFonts w:cs="Times-Roman"/>
                <w:lang w:val="en-US"/>
              </w:rPr>
              <w:t xml:space="preserve"> scan</w:t>
            </w:r>
          </w:p>
          <w:p w:rsidR="00B02AB6" w:rsidRPr="00D16865" w:rsidRDefault="00B02AB6" w:rsidP="006B0115">
            <w:pPr>
              <w:autoSpaceDE w:val="0"/>
              <w:autoSpaceDN w:val="0"/>
              <w:adjustRightInd w:val="0"/>
              <w:rPr>
                <w:rFonts w:cs="Times-Roman"/>
                <w:i/>
                <w:u w:val="single"/>
                <w:lang w:val="en-US"/>
              </w:rPr>
            </w:pPr>
            <w:r w:rsidRPr="00D16865">
              <w:rPr>
                <w:rFonts w:cs="Times-Roman"/>
                <w:i/>
                <w:u w:val="single"/>
                <w:lang w:val="en-US"/>
              </w:rPr>
              <w:t>Acquisition</w:t>
            </w:r>
          </w:p>
          <w:p w:rsidR="00B02AB6" w:rsidRPr="00D16865" w:rsidRDefault="00B02AB6" w:rsidP="00B02AB6">
            <w:pPr>
              <w:rPr>
                <w:lang w:val="en-US"/>
              </w:rPr>
            </w:pPr>
            <w:r w:rsidRPr="00D16865">
              <w:rPr>
                <w:rFonts w:cs="Arial"/>
                <w:lang w:val="en-US"/>
              </w:rPr>
              <w:t>In 152 out of the total of 172 subjects, FDG PET had been acquired according to a dynamic protocol so that 6 frames of 5 min duration from 30 to 60 min post injection were available for analysis. The remaining 20 FDG PETs had been acquired as 30 min static emission scan starting 30 min post injection.</w:t>
            </w:r>
          </w:p>
          <w:p w:rsidR="00B02AB6" w:rsidRPr="00D16865" w:rsidRDefault="00B02AB6" w:rsidP="006B0115">
            <w:pPr>
              <w:autoSpaceDE w:val="0"/>
              <w:autoSpaceDN w:val="0"/>
              <w:adjustRightInd w:val="0"/>
              <w:rPr>
                <w:rFonts w:cs="Times-Roman"/>
                <w:i/>
                <w:u w:val="single"/>
                <w:lang w:val="en-US"/>
              </w:rPr>
            </w:pPr>
            <w:r w:rsidRPr="00D16865">
              <w:rPr>
                <w:rFonts w:cs="Times-Roman"/>
                <w:i/>
                <w:u w:val="single"/>
                <w:lang w:val="en-US"/>
              </w:rPr>
              <w:t>Data analysis</w:t>
            </w:r>
          </w:p>
          <w:p w:rsidR="0020603E" w:rsidRPr="00D16865" w:rsidRDefault="0020603E" w:rsidP="0020603E">
            <w:pPr>
              <w:pStyle w:val="NormalWeb"/>
              <w:contextualSpacing/>
              <w:rPr>
                <w:rFonts w:asciiTheme="minorHAnsi" w:hAnsiTheme="minorHAnsi" w:cs="Tahoma"/>
                <w:sz w:val="22"/>
                <w:szCs w:val="22"/>
                <w:lang w:val="en-US"/>
              </w:rPr>
            </w:pPr>
            <w:r w:rsidRPr="00D16865">
              <w:rPr>
                <w:rFonts w:asciiTheme="minorHAnsi" w:hAnsiTheme="minorHAnsi" w:cs="Tahoma"/>
                <w:sz w:val="22"/>
                <w:szCs w:val="22"/>
                <w:lang w:val="en-US"/>
              </w:rPr>
              <w:t>The Herzholz t-sum score approach was used. However, the PALZ tool in PMOD</w:t>
            </w:r>
            <w:r w:rsidR="0065775A" w:rsidRPr="00D16865">
              <w:rPr>
                <w:rFonts w:asciiTheme="minorHAnsi" w:hAnsiTheme="minorHAnsi" w:cs="Tahoma"/>
                <w:sz w:val="22"/>
                <w:szCs w:val="22"/>
                <w:lang w:val="en-US"/>
              </w:rPr>
              <w:t xml:space="preserve"> software</w:t>
            </w:r>
            <w:r w:rsidRPr="00D16865">
              <w:rPr>
                <w:rFonts w:asciiTheme="minorHAnsi" w:hAnsiTheme="minorHAnsi" w:cs="Tahoma"/>
                <w:sz w:val="22"/>
                <w:szCs w:val="22"/>
                <w:lang w:val="en-US"/>
              </w:rPr>
              <w:t xml:space="preserve"> was not used but rather the Herholz method was implemented in a MATLAB/SPM processing pipeline. The AD-meta-ROI was created over which the t-values of the voxel-based test are summed. This AD-meta-ROI is similar to but not exactly equal to the AD-meta-ROI implemented in PMOD. Therefore, the threshold of 11090 usually used with the PALZ tool was not applicable in our analyses. </w:t>
            </w:r>
            <w:r w:rsidRPr="00D16865">
              <w:rPr>
                <w:rFonts w:asciiTheme="minorHAnsi" w:hAnsiTheme="minorHAnsi"/>
                <w:sz w:val="22"/>
                <w:szCs w:val="22"/>
                <w:lang w:val="en-US" w:eastAsia="en-US"/>
              </w:rPr>
              <w:t xml:space="preserve">The t-sum score is computed from the statistical parametric map (SPM) of the one-sided t-test of the individual patient’s FDG PET versus a database of FDG-PETs of healthy normal subjects. Thus, computation of the t-sum score requires ‘single case-SPM. Visual reading was not </w:t>
            </w:r>
            <w:proofErr w:type="gramStart"/>
            <w:r w:rsidRPr="00D16865">
              <w:rPr>
                <w:rFonts w:asciiTheme="minorHAnsi" w:hAnsiTheme="minorHAnsi"/>
                <w:sz w:val="22"/>
                <w:szCs w:val="22"/>
                <w:lang w:val="en-US" w:eastAsia="en-US"/>
              </w:rPr>
              <w:t>perform</w:t>
            </w:r>
            <w:proofErr w:type="gramEnd"/>
            <w:r w:rsidRPr="00D16865">
              <w:rPr>
                <w:rFonts w:asciiTheme="minorHAnsi" w:hAnsiTheme="minorHAnsi" w:cs="Tahoma"/>
                <w:sz w:val="22"/>
                <w:szCs w:val="22"/>
                <w:lang w:val="en-US"/>
              </w:rPr>
              <w:t xml:space="preserve"> (Dr</w:t>
            </w:r>
            <w:r w:rsidR="004C661D">
              <w:rPr>
                <w:rFonts w:asciiTheme="minorHAnsi" w:hAnsiTheme="minorHAnsi" w:cs="Tahoma"/>
                <w:sz w:val="22"/>
                <w:szCs w:val="22"/>
                <w:lang w:val="en-US"/>
              </w:rPr>
              <w:t>.</w:t>
            </w:r>
            <w:r w:rsidRPr="00D16865">
              <w:rPr>
                <w:rFonts w:asciiTheme="minorHAnsi" w:hAnsiTheme="minorHAnsi" w:cs="Tahoma"/>
                <w:sz w:val="22"/>
                <w:szCs w:val="22"/>
                <w:lang w:val="en-US"/>
              </w:rPr>
              <w:t xml:space="preserve"> Buchert’s email on 13/5/2016)</w:t>
            </w:r>
          </w:p>
          <w:p w:rsidR="0020603E" w:rsidRPr="00D16865" w:rsidRDefault="0020603E" w:rsidP="0020603E">
            <w:pPr>
              <w:pStyle w:val="NormalWeb"/>
              <w:contextualSpacing/>
              <w:rPr>
                <w:rFonts w:asciiTheme="minorHAnsi" w:hAnsiTheme="minorHAnsi"/>
                <w:sz w:val="22"/>
                <w:szCs w:val="22"/>
                <w:lang w:val="en-US"/>
              </w:rPr>
            </w:pPr>
            <w:r w:rsidRPr="00D16865">
              <w:rPr>
                <w:rFonts w:asciiTheme="minorHAnsi" w:hAnsiTheme="minorHAnsi"/>
                <w:sz w:val="22"/>
                <w:szCs w:val="22"/>
                <w:u w:val="single"/>
                <w:lang w:val="en-US"/>
              </w:rPr>
              <w:t>Threshold</w:t>
            </w:r>
            <w:r w:rsidRPr="00D16865">
              <w:rPr>
                <w:rFonts w:asciiTheme="minorHAnsi" w:hAnsiTheme="minorHAnsi"/>
                <w:sz w:val="22"/>
                <w:szCs w:val="22"/>
                <w:lang w:val="en-US"/>
              </w:rPr>
              <w:t xml:space="preserve">: </w:t>
            </w:r>
            <w:r w:rsidR="00185101" w:rsidRPr="00D16865">
              <w:rPr>
                <w:rFonts w:asciiTheme="minorHAnsi" w:hAnsiTheme="minorHAnsi"/>
                <w:sz w:val="22"/>
                <w:szCs w:val="22"/>
                <w:lang w:val="en-US"/>
              </w:rPr>
              <w:t xml:space="preserve">not pre-specified; </w:t>
            </w:r>
            <w:r w:rsidRPr="00D16865">
              <w:rPr>
                <w:rFonts w:asciiTheme="minorHAnsi" w:hAnsiTheme="minorHAnsi" w:cs="Tahoma"/>
                <w:i/>
                <w:sz w:val="22"/>
                <w:szCs w:val="22"/>
                <w:lang w:val="en-US"/>
              </w:rPr>
              <w:t>ROC-analysis</w:t>
            </w:r>
            <w:r w:rsidRPr="00D16865">
              <w:rPr>
                <w:rFonts w:asciiTheme="minorHAnsi" w:hAnsiTheme="minorHAnsi" w:cs="Tahoma"/>
                <w:sz w:val="22"/>
                <w:szCs w:val="22"/>
                <w:lang w:val="en-US"/>
              </w:rPr>
              <w:t xml:space="preserve"> was used to determine the optimal cut-off (Youden criterion) and 100 repeats of 20-fold cross-validation to avoid overly optimistic accuracy estimates.</w:t>
            </w:r>
          </w:p>
          <w:p w:rsidR="0020603E" w:rsidRPr="00D16865" w:rsidRDefault="0020603E" w:rsidP="0020603E">
            <w:pPr>
              <w:pStyle w:val="NormalWeb"/>
              <w:contextualSpacing/>
              <w:rPr>
                <w:rFonts w:asciiTheme="minorHAnsi" w:hAnsiTheme="minorHAnsi"/>
                <w:sz w:val="22"/>
                <w:szCs w:val="22"/>
                <w:u w:val="single"/>
                <w:lang w:val="en-US"/>
              </w:rPr>
            </w:pPr>
            <w:r w:rsidRPr="00D16865">
              <w:rPr>
                <w:rFonts w:asciiTheme="minorHAnsi" w:hAnsiTheme="minorHAnsi"/>
                <w:sz w:val="22"/>
                <w:szCs w:val="22"/>
                <w:u w:val="single"/>
                <w:lang w:val="en-US"/>
              </w:rPr>
              <w:t>t-sum score</w:t>
            </w:r>
          </w:p>
          <w:p w:rsidR="0020603E" w:rsidRPr="00D16865" w:rsidRDefault="0020603E" w:rsidP="0020603E">
            <w:pPr>
              <w:pStyle w:val="NormalWeb"/>
              <w:contextualSpacing/>
              <w:rPr>
                <w:rFonts w:asciiTheme="minorHAnsi" w:hAnsiTheme="minorHAnsi" w:cs="Arial"/>
                <w:sz w:val="22"/>
                <w:szCs w:val="22"/>
                <w:lang w:val="en-US"/>
              </w:rPr>
            </w:pPr>
            <w:r w:rsidRPr="00D16865">
              <w:rPr>
                <w:rFonts w:asciiTheme="minorHAnsi" w:hAnsiTheme="minorHAnsi"/>
                <w:sz w:val="22"/>
                <w:szCs w:val="22"/>
                <w:lang w:val="en-US"/>
              </w:rPr>
              <w:t xml:space="preserve">Original sample: </w:t>
            </w:r>
            <w:r w:rsidRPr="00D16865">
              <w:rPr>
                <w:rFonts w:asciiTheme="minorHAnsi" w:hAnsiTheme="minorHAnsi" w:cs="Arial"/>
                <w:sz w:val="22"/>
                <w:szCs w:val="22"/>
                <w:lang w:val="en-US"/>
              </w:rPr>
              <w:t>MCI converters: 37817±20182; MCI-non-converters: 14400±17483</w:t>
            </w:r>
          </w:p>
          <w:p w:rsidR="00660D37" w:rsidRPr="00D16865" w:rsidRDefault="0020603E" w:rsidP="0020603E">
            <w:pPr>
              <w:autoSpaceDE w:val="0"/>
              <w:autoSpaceDN w:val="0"/>
              <w:adjustRightInd w:val="0"/>
              <w:rPr>
                <w:lang w:val="en-US"/>
              </w:rPr>
            </w:pPr>
            <w:r w:rsidRPr="00D16865">
              <w:rPr>
                <w:rFonts w:cs="Arial"/>
                <w:lang w:val="en-US"/>
              </w:rPr>
              <w:t>Validation sample: MCI converters: 28356±20085; MCI-non-converters: 14604±16754</w:t>
            </w:r>
          </w:p>
        </w:tc>
      </w:tr>
      <w:tr w:rsidR="00660D37" w:rsidRPr="00D16865" w:rsidTr="0031616E">
        <w:tc>
          <w:tcPr>
            <w:tcW w:w="2771" w:type="dxa"/>
          </w:tcPr>
          <w:p w:rsidR="00660D37" w:rsidRPr="00D16865" w:rsidRDefault="00660D37" w:rsidP="006B0115">
            <w:pPr>
              <w:rPr>
                <w:b/>
                <w:lang w:val="en-US"/>
              </w:rPr>
            </w:pPr>
            <w:r w:rsidRPr="00D16865">
              <w:rPr>
                <w:b/>
                <w:lang w:val="en-US"/>
              </w:rPr>
              <w:t>Target condition</w:t>
            </w:r>
          </w:p>
        </w:tc>
        <w:tc>
          <w:tcPr>
            <w:tcW w:w="11177" w:type="dxa"/>
          </w:tcPr>
          <w:p w:rsidR="00660D37" w:rsidRPr="00D16865" w:rsidRDefault="00660D37" w:rsidP="006B0115">
            <w:pPr>
              <w:contextualSpacing/>
              <w:rPr>
                <w:lang w:val="en-US"/>
              </w:rPr>
            </w:pPr>
            <w:r w:rsidRPr="00D16865">
              <w:rPr>
                <w:lang w:val="en-US"/>
              </w:rPr>
              <w:t>Target condition: conversion from MCI to Alzheimer’s disease dementia</w:t>
            </w:r>
          </w:p>
          <w:p w:rsidR="00660D37" w:rsidRPr="00D16865" w:rsidRDefault="00660D37" w:rsidP="006B0115">
            <w:pPr>
              <w:rPr>
                <w:lang w:val="en-US"/>
              </w:rPr>
            </w:pPr>
            <w:r w:rsidRPr="00D16865">
              <w:rPr>
                <w:u w:val="single"/>
                <w:lang w:val="en-US"/>
              </w:rPr>
              <w:t>Reference standard</w:t>
            </w:r>
            <w:r w:rsidRPr="00D16865">
              <w:rPr>
                <w:lang w:val="en-US"/>
              </w:rPr>
              <w:t xml:space="preserve">: </w:t>
            </w:r>
            <w:r w:rsidRPr="00D16865">
              <w:rPr>
                <w:rFonts w:eastAsia="Times New Roman" w:cs="Arial"/>
                <w:lang w:val="en-US" w:eastAsia="en-GB"/>
              </w:rPr>
              <w:t>not reported</w:t>
            </w:r>
          </w:p>
        </w:tc>
      </w:tr>
      <w:tr w:rsidR="00660D37" w:rsidRPr="00D16865" w:rsidTr="0031616E">
        <w:tc>
          <w:tcPr>
            <w:tcW w:w="2771" w:type="dxa"/>
          </w:tcPr>
          <w:p w:rsidR="00660D37" w:rsidRPr="00D16865" w:rsidRDefault="00660D37" w:rsidP="006B0115">
            <w:pPr>
              <w:rPr>
                <w:b/>
                <w:lang w:val="en-US"/>
              </w:rPr>
            </w:pPr>
            <w:r w:rsidRPr="00D16865">
              <w:rPr>
                <w:b/>
                <w:lang w:val="en-US"/>
              </w:rPr>
              <w:lastRenderedPageBreak/>
              <w:t>Flow and timing</w:t>
            </w:r>
          </w:p>
        </w:tc>
        <w:tc>
          <w:tcPr>
            <w:tcW w:w="11177" w:type="dxa"/>
          </w:tcPr>
          <w:p w:rsidR="00660D37" w:rsidRPr="00D16865" w:rsidRDefault="00660D37" w:rsidP="006B0115">
            <w:pPr>
              <w:autoSpaceDE w:val="0"/>
              <w:autoSpaceDN w:val="0"/>
              <w:adjustRightInd w:val="0"/>
              <w:rPr>
                <w:rFonts w:cs="AdvTT3713a231"/>
                <w:color w:val="131413"/>
                <w:lang w:val="en-US"/>
              </w:rPr>
            </w:pPr>
            <w:r w:rsidRPr="00D16865">
              <w:rPr>
                <w:rFonts w:cs="AdvTT3713a231"/>
                <w:color w:val="131413"/>
                <w:lang w:val="en-US"/>
              </w:rPr>
              <w:t xml:space="preserve">Conversion from MCI to ADD; </w:t>
            </w:r>
            <w:r w:rsidRPr="00D16865">
              <w:rPr>
                <w:rFonts w:eastAsia="Times New Roman" w:cs="Arial"/>
                <w:lang w:val="en-US" w:eastAsia="en-GB"/>
              </w:rPr>
              <w:t>duration of follow-up</w:t>
            </w:r>
            <w:r w:rsidR="003B5228" w:rsidRPr="00D16865">
              <w:rPr>
                <w:rFonts w:eastAsia="Times New Roman" w:cs="Arial"/>
                <w:lang w:val="en-US" w:eastAsia="en-GB"/>
              </w:rPr>
              <w:t>:</w:t>
            </w:r>
            <w:r w:rsidRPr="00D16865">
              <w:rPr>
                <w:rFonts w:eastAsia="Times New Roman" w:cs="Arial"/>
                <w:lang w:val="en-US" w:eastAsia="en-GB"/>
              </w:rPr>
              <w:t xml:space="preserve"> 3 years</w:t>
            </w:r>
            <w:r w:rsidR="00303A3C" w:rsidRPr="00D16865">
              <w:rPr>
                <w:rFonts w:eastAsia="Times New Roman" w:cs="Arial"/>
                <w:lang w:val="en-US" w:eastAsia="en-GB"/>
              </w:rPr>
              <w:t xml:space="preserve"> </w:t>
            </w:r>
          </w:p>
          <w:p w:rsidR="00660D37" w:rsidRPr="00D16865" w:rsidRDefault="00660D37" w:rsidP="006B0115">
            <w:pPr>
              <w:spacing w:after="120"/>
              <w:contextualSpacing/>
              <w:rPr>
                <w:rFonts w:eastAsia="Times New Roman" w:cs="Arial"/>
                <w:i/>
                <w:u w:val="single"/>
                <w:lang w:val="en-US" w:eastAsia="en-GB"/>
              </w:rPr>
            </w:pPr>
            <w:r w:rsidRPr="00D16865">
              <w:rPr>
                <w:rFonts w:eastAsia="Times New Roman" w:cs="Arial"/>
                <w:i/>
                <w:u w:val="single"/>
                <w:lang w:val="en-US" w:eastAsia="en-GB"/>
              </w:rPr>
              <w:t>Original sample</w:t>
            </w:r>
          </w:p>
          <w:p w:rsidR="00660D37" w:rsidRPr="00D16865" w:rsidRDefault="00660D37" w:rsidP="006B0115">
            <w:pPr>
              <w:autoSpaceDE w:val="0"/>
              <w:autoSpaceDN w:val="0"/>
              <w:adjustRightInd w:val="0"/>
              <w:rPr>
                <w:rFonts w:eastAsia="Times New Roman" w:cs="Arial"/>
                <w:lang w:val="en-US" w:eastAsia="en-GB"/>
              </w:rPr>
            </w:pPr>
            <w:r w:rsidRPr="00D16865">
              <w:rPr>
                <w:rFonts w:eastAsia="Times New Roman" w:cs="Arial"/>
                <w:lang w:val="en-US" w:eastAsia="en-GB"/>
              </w:rPr>
              <w:t>Number included in analysis (N=108)</w:t>
            </w:r>
          </w:p>
          <w:p w:rsidR="00660D37" w:rsidRPr="00D16865" w:rsidRDefault="00660D37" w:rsidP="006B0115">
            <w:pPr>
              <w:autoSpaceDE w:val="0"/>
              <w:autoSpaceDN w:val="0"/>
              <w:adjustRightInd w:val="0"/>
              <w:rPr>
                <w:rFonts w:cs="AdvTT3713a231"/>
                <w:color w:val="131413"/>
                <w:lang w:val="en-US"/>
              </w:rPr>
            </w:pPr>
            <w:r w:rsidRPr="00D16865">
              <w:rPr>
                <w:rFonts w:eastAsia="Times New Roman" w:cs="Arial"/>
                <w:lang w:val="en-US" w:eastAsia="en-GB"/>
              </w:rPr>
              <w:t>At follow-up: 31 MCI-AD (disease positive); 77 MCI-MCI (disease negative)</w:t>
            </w:r>
          </w:p>
          <w:p w:rsidR="00660D37" w:rsidRPr="00D16865" w:rsidRDefault="00660D37" w:rsidP="006B0115">
            <w:pPr>
              <w:autoSpaceDE w:val="0"/>
              <w:autoSpaceDN w:val="0"/>
              <w:adjustRightInd w:val="0"/>
              <w:rPr>
                <w:rFonts w:cs="AdvTT3713a231"/>
                <w:color w:val="131413"/>
                <w:lang w:val="en-US"/>
              </w:rPr>
            </w:pPr>
            <w:r w:rsidRPr="00D16865">
              <w:rPr>
                <w:rFonts w:cs="AdvTT3713a231"/>
                <w:b/>
                <w:color w:val="131413"/>
                <w:lang w:val="en-US"/>
              </w:rPr>
              <w:t>AUC=0.728</w:t>
            </w:r>
            <w:r w:rsidRPr="00D16865">
              <w:rPr>
                <w:rFonts w:cs="AdvTT3713a231"/>
                <w:color w:val="131413"/>
                <w:lang w:val="en-US"/>
              </w:rPr>
              <w:t xml:space="preserve"> </w:t>
            </w:r>
            <w:r w:rsidRPr="00D16865">
              <w:rPr>
                <w:rFonts w:cs="AdvTT3713a231"/>
                <w:color w:val="131413"/>
                <w:u w:val="single"/>
                <w:lang w:val="en-US"/>
              </w:rPr>
              <w:t>with the SPM default setting</w:t>
            </w:r>
          </w:p>
          <w:p w:rsidR="00660D37" w:rsidRPr="00D16865" w:rsidRDefault="00660D37" w:rsidP="006B0115">
            <w:pPr>
              <w:autoSpaceDE w:val="0"/>
              <w:autoSpaceDN w:val="0"/>
              <w:adjustRightInd w:val="0"/>
              <w:rPr>
                <w:rFonts w:cs="AdvTT3713a231"/>
                <w:color w:val="131413"/>
                <w:lang w:val="en-US"/>
              </w:rPr>
            </w:pPr>
            <w:r w:rsidRPr="00D16865">
              <w:rPr>
                <w:rFonts w:cs="AdvTT3713a231"/>
                <w:b/>
                <w:color w:val="131413"/>
                <w:lang w:val="en-US"/>
              </w:rPr>
              <w:t>AUC=0.832</w:t>
            </w:r>
            <w:r w:rsidRPr="00D16865">
              <w:rPr>
                <w:rFonts w:cs="AdvTT3713a231"/>
                <w:color w:val="131413"/>
                <w:lang w:val="en-US"/>
              </w:rPr>
              <w:t xml:space="preserve"> </w:t>
            </w:r>
            <w:r w:rsidRPr="00D16865">
              <w:rPr>
                <w:rFonts w:cs="AdvTT3713a231"/>
                <w:color w:val="131413"/>
                <w:u w:val="single"/>
                <w:lang w:val="en-US"/>
              </w:rPr>
              <w:t>with the SPM ‘</w:t>
            </w:r>
            <w:r w:rsidR="004C661D" w:rsidRPr="00D16865">
              <w:rPr>
                <w:rFonts w:cs="AdvTT3713a231"/>
                <w:color w:val="131413"/>
                <w:u w:val="single"/>
                <w:lang w:val="en-US"/>
              </w:rPr>
              <w:t>optimized</w:t>
            </w:r>
            <w:r w:rsidRPr="00D16865">
              <w:rPr>
                <w:rFonts w:cs="AdvTT3713a231"/>
                <w:color w:val="131413"/>
                <w:u w:val="single"/>
                <w:lang w:val="en-US"/>
              </w:rPr>
              <w:t>’ setting</w:t>
            </w:r>
          </w:p>
          <w:p w:rsidR="00660D37" w:rsidRPr="00D16865" w:rsidRDefault="003B5228" w:rsidP="006B0115">
            <w:pPr>
              <w:autoSpaceDE w:val="0"/>
              <w:autoSpaceDN w:val="0"/>
              <w:adjustRightInd w:val="0"/>
              <w:rPr>
                <w:rFonts w:cs="AdvTT3713a231"/>
                <w:i/>
                <w:color w:val="131413"/>
                <w:lang w:val="en-US"/>
              </w:rPr>
            </w:pPr>
            <w:r w:rsidRPr="00D16865">
              <w:rPr>
                <w:rFonts w:cs="AdvTT3713a231"/>
                <w:i/>
                <w:color w:val="131413"/>
                <w:u w:val="single"/>
                <w:lang w:val="en-US"/>
              </w:rPr>
              <w:t>Validation</w:t>
            </w:r>
            <w:r w:rsidR="00660D37" w:rsidRPr="00D16865">
              <w:rPr>
                <w:rFonts w:cs="AdvTT3713a231"/>
                <w:i/>
                <w:color w:val="131413"/>
                <w:u w:val="single"/>
                <w:lang w:val="en-US"/>
              </w:rPr>
              <w:t xml:space="preserve"> sample</w:t>
            </w:r>
          </w:p>
          <w:p w:rsidR="00660D37" w:rsidRPr="00D16865" w:rsidRDefault="00660D37" w:rsidP="006B0115">
            <w:pPr>
              <w:autoSpaceDE w:val="0"/>
              <w:autoSpaceDN w:val="0"/>
              <w:adjustRightInd w:val="0"/>
              <w:rPr>
                <w:rFonts w:eastAsia="Times New Roman" w:cs="Arial"/>
                <w:lang w:val="en-US" w:eastAsia="en-GB"/>
              </w:rPr>
            </w:pPr>
            <w:r w:rsidRPr="00D16865">
              <w:rPr>
                <w:rFonts w:eastAsia="Times New Roman" w:cs="Arial"/>
                <w:lang w:val="en-US" w:eastAsia="en-GB"/>
              </w:rPr>
              <w:t>Number included in analysis (</w:t>
            </w:r>
            <w:r w:rsidRPr="00D16865">
              <w:rPr>
                <w:rFonts w:eastAsia="Times New Roman" w:cs="Arial"/>
                <w:b/>
                <w:lang w:val="en-US" w:eastAsia="en-GB"/>
              </w:rPr>
              <w:t>N=241</w:t>
            </w:r>
            <w:r w:rsidRPr="00D16865">
              <w:rPr>
                <w:rFonts w:eastAsia="Times New Roman" w:cs="Arial"/>
                <w:lang w:val="en-US" w:eastAsia="en-GB"/>
              </w:rPr>
              <w:t>)</w:t>
            </w:r>
          </w:p>
          <w:p w:rsidR="00660D37" w:rsidRPr="00D16865" w:rsidRDefault="00660D37" w:rsidP="006B0115">
            <w:pPr>
              <w:autoSpaceDE w:val="0"/>
              <w:autoSpaceDN w:val="0"/>
              <w:adjustRightInd w:val="0"/>
              <w:rPr>
                <w:rFonts w:cs="AdvTT3713a231"/>
                <w:color w:val="131413"/>
                <w:lang w:val="en-US"/>
              </w:rPr>
            </w:pPr>
            <w:r w:rsidRPr="00D16865">
              <w:rPr>
                <w:rFonts w:eastAsia="Times New Roman" w:cs="Arial"/>
                <w:lang w:val="en-US" w:eastAsia="en-GB"/>
              </w:rPr>
              <w:t>At follow-up: 60 MCI-AD (disease positive); 181 MCI-MCI (disease negative)</w:t>
            </w:r>
          </w:p>
          <w:p w:rsidR="00660D37" w:rsidRPr="00D16865" w:rsidRDefault="00660D37" w:rsidP="006B0115">
            <w:pPr>
              <w:autoSpaceDE w:val="0"/>
              <w:autoSpaceDN w:val="0"/>
              <w:adjustRightInd w:val="0"/>
              <w:rPr>
                <w:rFonts w:cs="AdvTT3713a231"/>
                <w:color w:val="131413"/>
                <w:lang w:val="en-US"/>
              </w:rPr>
            </w:pPr>
            <w:r w:rsidRPr="00D16865">
              <w:rPr>
                <w:rFonts w:cs="AdvTT3713a231"/>
                <w:color w:val="131413"/>
                <w:lang w:val="en-US"/>
              </w:rPr>
              <w:t>Sensitivity=58%; specificity=56%; PPV=31%; NPV=80%;</w:t>
            </w:r>
            <w:r w:rsidRPr="00D16865">
              <w:rPr>
                <w:rFonts w:cs="AdvTT3713a231"/>
                <w:b/>
                <w:color w:val="131413"/>
                <w:lang w:val="en-US"/>
              </w:rPr>
              <w:t xml:space="preserve"> AUC=0.675</w:t>
            </w:r>
            <w:r w:rsidRPr="00D16865">
              <w:rPr>
                <w:rFonts w:cs="AdvTT3713a231"/>
                <w:color w:val="131413"/>
                <w:lang w:val="en-US"/>
              </w:rPr>
              <w:t xml:space="preserve"> </w:t>
            </w:r>
            <w:r w:rsidRPr="00D16865">
              <w:rPr>
                <w:rFonts w:cs="AdvTT3713a231"/>
                <w:color w:val="131413"/>
                <w:u w:val="single"/>
                <w:lang w:val="en-US"/>
              </w:rPr>
              <w:t>with the SPM default setting</w:t>
            </w:r>
          </w:p>
          <w:p w:rsidR="00660D37" w:rsidRPr="00D16865" w:rsidRDefault="00660D37" w:rsidP="006B0115">
            <w:pPr>
              <w:autoSpaceDE w:val="0"/>
              <w:autoSpaceDN w:val="0"/>
              <w:adjustRightInd w:val="0"/>
              <w:rPr>
                <w:rFonts w:cs="AdvTT3713a231"/>
                <w:color w:val="131413"/>
                <w:lang w:val="en-US"/>
              </w:rPr>
            </w:pPr>
            <w:r w:rsidRPr="00D16865">
              <w:rPr>
                <w:rFonts w:cs="AdvTT3713a231"/>
                <w:color w:val="131413"/>
                <w:lang w:val="en-US"/>
              </w:rPr>
              <w:t>Sensitivity=70%; specificity=68%; PPV=42%; NPV=87%;</w:t>
            </w:r>
            <w:r w:rsidRPr="00D16865">
              <w:rPr>
                <w:rFonts w:cs="AdvTT3713a231"/>
                <w:b/>
                <w:color w:val="131413"/>
                <w:lang w:val="en-US"/>
              </w:rPr>
              <w:t xml:space="preserve"> AUC=0.746</w:t>
            </w:r>
            <w:r w:rsidRPr="00D16865">
              <w:rPr>
                <w:rFonts w:cs="AdvTT3713a231"/>
                <w:color w:val="131413"/>
                <w:lang w:val="en-US"/>
              </w:rPr>
              <w:t xml:space="preserve"> </w:t>
            </w:r>
            <w:r w:rsidRPr="00D16865">
              <w:rPr>
                <w:rFonts w:cs="AdvTT3713a231"/>
                <w:color w:val="131413"/>
                <w:u w:val="single"/>
                <w:lang w:val="en-US"/>
              </w:rPr>
              <w:t>with the SPM ‘</w:t>
            </w:r>
            <w:r w:rsidR="004C661D" w:rsidRPr="00D16865">
              <w:rPr>
                <w:rFonts w:cs="AdvTT3713a231"/>
                <w:color w:val="131413"/>
                <w:u w:val="single"/>
                <w:lang w:val="en-US"/>
              </w:rPr>
              <w:t>optimized</w:t>
            </w:r>
            <w:r w:rsidRPr="00D16865">
              <w:rPr>
                <w:rFonts w:cs="AdvTT3713a231"/>
                <w:color w:val="131413"/>
                <w:u w:val="single"/>
                <w:lang w:val="en-US"/>
              </w:rPr>
              <w:t>’ setting</w:t>
            </w:r>
          </w:p>
        </w:tc>
      </w:tr>
      <w:tr w:rsidR="00660D37" w:rsidRPr="00D16865" w:rsidTr="0031616E">
        <w:tc>
          <w:tcPr>
            <w:tcW w:w="13948" w:type="dxa"/>
            <w:gridSpan w:val="2"/>
          </w:tcPr>
          <w:p w:rsidR="00272393" w:rsidRPr="00D16865" w:rsidRDefault="00272393" w:rsidP="00272393">
            <w:pPr>
              <w:autoSpaceDE w:val="0"/>
              <w:autoSpaceDN w:val="0"/>
              <w:adjustRightInd w:val="0"/>
              <w:rPr>
                <w:rFonts w:cs="Arial"/>
                <w:b/>
                <w:lang w:val="en-US"/>
              </w:rPr>
            </w:pPr>
            <w:r w:rsidRPr="00D16865">
              <w:rPr>
                <w:rFonts w:cs="Arial"/>
                <w:b/>
                <w:lang w:val="en-US"/>
              </w:rPr>
              <w:t>Notes</w:t>
            </w:r>
          </w:p>
          <w:p w:rsidR="00272393" w:rsidRPr="00D16865" w:rsidRDefault="00272393" w:rsidP="00272393">
            <w:pPr>
              <w:autoSpaceDE w:val="0"/>
              <w:autoSpaceDN w:val="0"/>
              <w:adjustRightInd w:val="0"/>
              <w:rPr>
                <w:rFonts w:cs="Arial"/>
                <w:lang w:val="en-US"/>
              </w:rPr>
            </w:pPr>
            <w:r w:rsidRPr="00D16865">
              <w:rPr>
                <w:rFonts w:eastAsia="Times New Roman" w:cs="Arial"/>
                <w:lang w:val="en-US" w:eastAsia="en-GB"/>
              </w:rPr>
              <w:t xml:space="preserve">Additional information </w:t>
            </w:r>
            <w:proofErr w:type="gramStart"/>
            <w:r w:rsidRPr="00D16865">
              <w:rPr>
                <w:rFonts w:eastAsia="Times New Roman" w:cs="Arial"/>
                <w:lang w:val="en-US" w:eastAsia="en-GB"/>
              </w:rPr>
              <w:t>were</w:t>
            </w:r>
            <w:proofErr w:type="gramEnd"/>
            <w:r w:rsidRPr="00D16865">
              <w:rPr>
                <w:rFonts w:eastAsia="Times New Roman" w:cs="Arial"/>
                <w:lang w:val="en-US" w:eastAsia="en-GB"/>
              </w:rPr>
              <w:t xml:space="preserve"> requested and obtained from the trial investigators regarding </w:t>
            </w:r>
            <w:r w:rsidRPr="00D16865">
              <w:rPr>
                <w:rFonts w:cs="Arial"/>
                <w:lang w:val="en-US"/>
              </w:rPr>
              <w:t>metrics used (Dr Buchert’s email on 30/5/2016).</w:t>
            </w:r>
          </w:p>
          <w:p w:rsidR="00272393" w:rsidRPr="00D16865" w:rsidRDefault="004105ED" w:rsidP="00272393">
            <w:pPr>
              <w:autoSpaceDE w:val="0"/>
              <w:autoSpaceDN w:val="0"/>
              <w:adjustRightInd w:val="0"/>
              <w:rPr>
                <w:rFonts w:cs="Arial"/>
                <w:lang w:val="en-US"/>
              </w:rPr>
            </w:pPr>
            <w:r w:rsidRPr="00D16865">
              <w:rPr>
                <w:rFonts w:cs="Arial"/>
                <w:b/>
                <w:lang w:val="en-US"/>
              </w:rPr>
              <w:t>A</w:t>
            </w:r>
            <w:r w:rsidR="00660D37" w:rsidRPr="00D16865">
              <w:rPr>
                <w:rFonts w:cs="Arial"/>
                <w:b/>
                <w:lang w:val="en-US"/>
              </w:rPr>
              <w:t>im</w:t>
            </w:r>
            <w:r w:rsidRPr="00D16865">
              <w:rPr>
                <w:rFonts w:cs="Arial"/>
                <w:b/>
                <w:lang w:val="en-US"/>
              </w:rPr>
              <w:t>:</w:t>
            </w:r>
            <w:r w:rsidR="00660D37" w:rsidRPr="00D16865">
              <w:rPr>
                <w:rFonts w:cs="Arial"/>
                <w:lang w:val="en-US"/>
              </w:rPr>
              <w:t xml:space="preserve"> </w:t>
            </w:r>
            <w:r w:rsidRPr="00D16865">
              <w:rPr>
                <w:lang w:val="en-US"/>
              </w:rPr>
              <w:t xml:space="preserve">to </w:t>
            </w:r>
            <w:r w:rsidR="004C661D" w:rsidRPr="00D16865">
              <w:rPr>
                <w:lang w:val="en-US"/>
              </w:rPr>
              <w:t>optimize</w:t>
            </w:r>
            <w:r w:rsidRPr="00D16865">
              <w:rPr>
                <w:lang w:val="en-US"/>
              </w:rPr>
              <w:t xml:space="preserve"> the processing pipeline of voxel-based </w:t>
            </w:r>
            <w:r w:rsidR="00272393" w:rsidRPr="00D16865">
              <w:rPr>
                <w:lang w:val="en-US"/>
              </w:rPr>
              <w:t xml:space="preserve">single subject analysis </w:t>
            </w:r>
            <w:r w:rsidRPr="00D16865">
              <w:rPr>
                <w:lang w:val="en-US"/>
              </w:rPr>
              <w:t xml:space="preserve">for </w:t>
            </w:r>
            <w:r w:rsidR="00272393" w:rsidRPr="00D16865">
              <w:rPr>
                <w:rFonts w:cs="Arial"/>
                <w:lang w:val="en-US"/>
              </w:rPr>
              <w:t xml:space="preserve">prediction of MCI to AD conversion by brain FDG PET within the framework of SPM. </w:t>
            </w:r>
          </w:p>
          <w:p w:rsidR="00660D37" w:rsidRPr="00D16865" w:rsidRDefault="00660D37" w:rsidP="00660D37">
            <w:pPr>
              <w:autoSpaceDE w:val="0"/>
              <w:autoSpaceDN w:val="0"/>
              <w:adjustRightInd w:val="0"/>
              <w:rPr>
                <w:rFonts w:cs="Arial"/>
                <w:lang w:val="en-US"/>
              </w:rPr>
            </w:pPr>
            <w:r w:rsidRPr="00D16865">
              <w:rPr>
                <w:rFonts w:cs="Arial"/>
                <w:lang w:val="en-US"/>
              </w:rPr>
              <w:t xml:space="preserve">The following aspects of the processing pipeline were considered: frame-by-frame motion correction, [O-15]-water versus FDG template, spatial smoothing, and intensity scaling. Optimizing SPM for voxel-based single subject analysis of brain </w:t>
            </w:r>
            <w:r w:rsidR="005725E7" w:rsidRPr="00D16865">
              <w:rPr>
                <w:rFonts w:cs="Arial"/>
                <w:vertAlign w:val="superscript"/>
                <w:lang w:val="en-US"/>
              </w:rPr>
              <w:t>18</w:t>
            </w:r>
            <w:r w:rsidR="005725E7" w:rsidRPr="00D16865">
              <w:rPr>
                <w:rFonts w:cs="Arial"/>
                <w:lang w:val="en-US"/>
              </w:rPr>
              <w:t xml:space="preserve">F-FDG PET </w:t>
            </w:r>
            <w:r w:rsidRPr="00D16865">
              <w:rPr>
                <w:rFonts w:cs="Arial"/>
                <w:lang w:val="en-US"/>
              </w:rPr>
              <w:t xml:space="preserve">provided </w:t>
            </w:r>
            <w:r w:rsidR="00272393" w:rsidRPr="00D16865">
              <w:rPr>
                <w:rFonts w:cs="Arial"/>
                <w:lang w:val="en-US"/>
              </w:rPr>
              <w:t xml:space="preserve">considerable improvement of MCI to </w:t>
            </w:r>
            <w:r w:rsidRPr="00D16865">
              <w:rPr>
                <w:rFonts w:cs="Arial"/>
                <w:lang w:val="en-US"/>
              </w:rPr>
              <w:t>AD prediction.</w:t>
            </w:r>
          </w:p>
          <w:p w:rsidR="00996B7B" w:rsidRPr="00D16865" w:rsidRDefault="00996B7B" w:rsidP="00660D37">
            <w:pPr>
              <w:autoSpaceDE w:val="0"/>
              <w:autoSpaceDN w:val="0"/>
              <w:adjustRightInd w:val="0"/>
              <w:rPr>
                <w:rFonts w:cs="Arial"/>
                <w:b/>
                <w:lang w:val="en-US"/>
              </w:rPr>
            </w:pPr>
            <w:r w:rsidRPr="00D16865">
              <w:rPr>
                <w:rFonts w:cs="Arial"/>
                <w:b/>
                <w:lang w:val="en-US"/>
              </w:rPr>
              <w:t>Conclusion</w:t>
            </w:r>
          </w:p>
          <w:p w:rsidR="00B652E2" w:rsidRPr="00D16865" w:rsidRDefault="00B07EE7" w:rsidP="00660D37">
            <w:pPr>
              <w:autoSpaceDE w:val="0"/>
              <w:autoSpaceDN w:val="0"/>
              <w:adjustRightInd w:val="0"/>
              <w:rPr>
                <w:rFonts w:cs="Arial"/>
                <w:lang w:val="en-US"/>
              </w:rPr>
            </w:pPr>
            <w:r w:rsidRPr="00D16865">
              <w:rPr>
                <w:rFonts w:cs="Arial"/>
                <w:lang w:val="en-US"/>
              </w:rPr>
              <w:t xml:space="preserve">“The </w:t>
            </w:r>
            <w:r w:rsidR="004F7999" w:rsidRPr="00D16865">
              <w:rPr>
                <w:rFonts w:cs="Arial"/>
                <w:lang w:val="en-US"/>
              </w:rPr>
              <w:t>prognostic value of voxel-based</w:t>
            </w:r>
            <w:r w:rsidR="00B652E2" w:rsidRPr="00D16865">
              <w:rPr>
                <w:rFonts w:cs="Arial"/>
                <w:lang w:val="en-US"/>
              </w:rPr>
              <w:t xml:space="preserve"> single subject analysis of brain </w:t>
            </w:r>
            <w:r w:rsidR="005725E7" w:rsidRPr="00D16865">
              <w:rPr>
                <w:rFonts w:cs="Arial"/>
                <w:vertAlign w:val="superscript"/>
                <w:lang w:val="en-US"/>
              </w:rPr>
              <w:t>18</w:t>
            </w:r>
            <w:r w:rsidR="005725E7" w:rsidRPr="00D16865">
              <w:rPr>
                <w:rFonts w:cs="Arial"/>
                <w:lang w:val="en-US"/>
              </w:rPr>
              <w:t xml:space="preserve">F-FDG PET </w:t>
            </w:r>
            <w:r w:rsidR="00B652E2" w:rsidRPr="00D16865">
              <w:rPr>
                <w:rFonts w:cs="Arial"/>
                <w:lang w:val="en-US"/>
              </w:rPr>
              <w:t xml:space="preserve">in </w:t>
            </w:r>
            <w:r w:rsidR="004F7999" w:rsidRPr="00D16865">
              <w:rPr>
                <w:rFonts w:cs="Arial"/>
                <w:lang w:val="en-US"/>
              </w:rPr>
              <w:t>MCI subjects can be improved cons</w:t>
            </w:r>
            <w:r w:rsidR="00B652E2" w:rsidRPr="00D16865">
              <w:rPr>
                <w:rFonts w:cs="Arial"/>
                <w:lang w:val="en-US"/>
              </w:rPr>
              <w:t xml:space="preserve">iderably by </w:t>
            </w:r>
            <w:r w:rsidR="004C661D" w:rsidRPr="00D16865">
              <w:rPr>
                <w:rFonts w:cs="Arial"/>
                <w:lang w:val="en-US"/>
              </w:rPr>
              <w:t>optimizing</w:t>
            </w:r>
            <w:r w:rsidR="00B652E2" w:rsidRPr="00D16865">
              <w:rPr>
                <w:rFonts w:cs="Arial"/>
                <w:lang w:val="en-US"/>
              </w:rPr>
              <w:t xml:space="preserve"> the processing pipeline”.</w:t>
            </w:r>
          </w:p>
        </w:tc>
      </w:tr>
      <w:tr w:rsidR="00660D37" w:rsidRPr="00D16865" w:rsidTr="0031616E">
        <w:tc>
          <w:tcPr>
            <w:tcW w:w="13948" w:type="dxa"/>
            <w:gridSpan w:val="2"/>
          </w:tcPr>
          <w:p w:rsidR="00660D37" w:rsidRPr="00D16865" w:rsidRDefault="00660D37">
            <w:pPr>
              <w:rPr>
                <w:b/>
                <w:lang w:val="en-US"/>
              </w:rPr>
            </w:pPr>
          </w:p>
        </w:tc>
      </w:tr>
      <w:tr w:rsidR="00DA4731" w:rsidRPr="00D16865" w:rsidTr="0031616E">
        <w:tc>
          <w:tcPr>
            <w:tcW w:w="13948" w:type="dxa"/>
            <w:gridSpan w:val="2"/>
          </w:tcPr>
          <w:p w:rsidR="00DA4731" w:rsidRPr="00D16865" w:rsidRDefault="00542DB7">
            <w:pPr>
              <w:rPr>
                <w:b/>
                <w:lang w:val="en-US"/>
              </w:rPr>
            </w:pPr>
            <w:r w:rsidRPr="00D16865">
              <w:rPr>
                <w:b/>
                <w:lang w:val="en-US"/>
              </w:rPr>
              <w:t>Prestia 2013</w:t>
            </w:r>
          </w:p>
        </w:tc>
      </w:tr>
      <w:tr w:rsidR="00D000FA" w:rsidRPr="00D16865" w:rsidTr="0031616E">
        <w:tc>
          <w:tcPr>
            <w:tcW w:w="2771" w:type="dxa"/>
          </w:tcPr>
          <w:p w:rsidR="00D000FA" w:rsidRPr="00D16865" w:rsidRDefault="00D000FA" w:rsidP="009A3E78">
            <w:pPr>
              <w:rPr>
                <w:b/>
                <w:lang w:val="en-US"/>
              </w:rPr>
            </w:pPr>
            <w:r w:rsidRPr="00D16865">
              <w:rPr>
                <w:b/>
                <w:lang w:val="en-US"/>
              </w:rPr>
              <w:t>Patient sampling</w:t>
            </w:r>
          </w:p>
        </w:tc>
        <w:tc>
          <w:tcPr>
            <w:tcW w:w="11177" w:type="dxa"/>
          </w:tcPr>
          <w:p w:rsidR="00D000FA" w:rsidRPr="00D16865" w:rsidRDefault="00D000FA" w:rsidP="009A3E78">
            <w:pPr>
              <w:contextualSpacing/>
              <w:rPr>
                <w:lang w:val="en-US"/>
              </w:rPr>
            </w:pPr>
            <w:r w:rsidRPr="00D16865">
              <w:rPr>
                <w:lang w:val="en-US"/>
              </w:rPr>
              <w:t>Study design</w:t>
            </w:r>
            <w:r w:rsidR="00710CBF" w:rsidRPr="00D16865">
              <w:rPr>
                <w:lang w:val="en-US"/>
              </w:rPr>
              <w:t xml:space="preserve">: nested cross-sectional study; </w:t>
            </w:r>
            <w:r w:rsidR="00557B9D" w:rsidRPr="00D16865">
              <w:rPr>
                <w:lang w:val="en-US"/>
              </w:rPr>
              <w:t>retrospective analysis of longitudinal data from ADNI database</w:t>
            </w:r>
          </w:p>
          <w:p w:rsidR="0020603E" w:rsidRPr="00D16865" w:rsidRDefault="0020603E" w:rsidP="0020603E">
            <w:pPr>
              <w:spacing w:after="120"/>
              <w:contextualSpacing/>
              <w:rPr>
                <w:rFonts w:eastAsia="Times New Roman" w:cs="Arial"/>
                <w:lang w:val="en-US" w:eastAsia="en-GB"/>
              </w:rPr>
            </w:pPr>
            <w:r w:rsidRPr="00D16865">
              <w:rPr>
                <w:rFonts w:eastAsia="Times New Roman" w:cs="Arial"/>
                <w:lang w:val="en-US" w:eastAsia="en-GB"/>
              </w:rPr>
              <w:t xml:space="preserve">Participants </w:t>
            </w:r>
            <w:r w:rsidR="00500785" w:rsidRPr="00D16865">
              <w:rPr>
                <w:rFonts w:eastAsia="Times New Roman" w:cs="Arial"/>
                <w:lang w:val="en-US" w:eastAsia="en-GB"/>
              </w:rPr>
              <w:t xml:space="preserve">were retrospectively and independently recruited from ADNI and TOMC (Translational Outpatient Memory Clinic). Sampling procedure not described. </w:t>
            </w:r>
            <w:r w:rsidR="00D000FA" w:rsidRPr="00D16865">
              <w:rPr>
                <w:rFonts w:eastAsia="Times New Roman" w:cs="Arial"/>
                <w:lang w:val="en-US" w:eastAsia="en-GB"/>
              </w:rPr>
              <w:t>We only included data on performance of the index test to discriminate between patients with MCI who convert to dementia</w:t>
            </w:r>
            <w:r w:rsidRPr="00D16865">
              <w:rPr>
                <w:rFonts w:eastAsia="Times New Roman" w:cs="Arial"/>
                <w:lang w:val="en-US" w:eastAsia="en-GB"/>
              </w:rPr>
              <w:t xml:space="preserve"> and those who remained stable.</w:t>
            </w:r>
          </w:p>
          <w:p w:rsidR="00D000FA" w:rsidRPr="00D16865" w:rsidRDefault="00D000FA" w:rsidP="0020603E">
            <w:pPr>
              <w:spacing w:after="120"/>
              <w:contextualSpacing/>
              <w:rPr>
                <w:rFonts w:eastAsia="Times New Roman" w:cs="Arial"/>
                <w:lang w:val="en-US" w:eastAsia="en-GB"/>
              </w:rPr>
            </w:pPr>
            <w:r w:rsidRPr="00D16865">
              <w:rPr>
                <w:rFonts w:cs="Arial"/>
                <w:u w:val="single"/>
                <w:lang w:val="en-US"/>
              </w:rPr>
              <w:t>Exclusion criteria</w:t>
            </w:r>
            <w:r w:rsidRPr="00D16865">
              <w:rPr>
                <w:rFonts w:cs="Arial"/>
                <w:lang w:val="en-US"/>
              </w:rPr>
              <w:t xml:space="preserve">: </w:t>
            </w:r>
            <w:r w:rsidR="006D0DE4" w:rsidRPr="00D16865">
              <w:rPr>
                <w:rFonts w:cs="Times New Roman"/>
                <w:lang w:val="en-US"/>
              </w:rPr>
              <w:t>cognitive disturbance accountable by focal cerebral, physical, psychiatric, or metabolic diseases</w:t>
            </w:r>
          </w:p>
        </w:tc>
      </w:tr>
      <w:tr w:rsidR="00D000FA" w:rsidRPr="00D16865" w:rsidTr="0031616E">
        <w:tc>
          <w:tcPr>
            <w:tcW w:w="2771" w:type="dxa"/>
          </w:tcPr>
          <w:p w:rsidR="00D000FA" w:rsidRPr="00D16865" w:rsidRDefault="00D000FA" w:rsidP="009A3E78">
            <w:pPr>
              <w:rPr>
                <w:b/>
                <w:lang w:val="en-US"/>
              </w:rPr>
            </w:pPr>
            <w:r w:rsidRPr="00D16865">
              <w:rPr>
                <w:b/>
                <w:lang w:val="en-US"/>
              </w:rPr>
              <w:t>Patient characteristics and settings</w:t>
            </w:r>
          </w:p>
        </w:tc>
        <w:tc>
          <w:tcPr>
            <w:tcW w:w="11177" w:type="dxa"/>
          </w:tcPr>
          <w:p w:rsidR="00DB2EF9" w:rsidRPr="00D16865" w:rsidRDefault="00DB2EF9" w:rsidP="00DB2EF9">
            <w:pPr>
              <w:rPr>
                <w:lang w:val="en-US"/>
              </w:rPr>
            </w:pPr>
            <w:r w:rsidRPr="00D16865">
              <w:rPr>
                <w:lang w:val="en-US"/>
              </w:rPr>
              <w:t xml:space="preserve">93 participants diagnosed by Petersen 199 criteria: ADNI cohort: 24 MCI with </w:t>
            </w:r>
            <w:proofErr w:type="spellStart"/>
            <w:r w:rsidRPr="00D16865">
              <w:rPr>
                <w:lang w:val="en-US"/>
              </w:rPr>
              <w:t>pAD</w:t>
            </w:r>
            <w:proofErr w:type="spellEnd"/>
            <w:r w:rsidRPr="00D16865">
              <w:rPr>
                <w:lang w:val="en-US"/>
              </w:rPr>
              <w:t xml:space="preserve"> (prodromal AD) and 33 sMCI (stable); </w:t>
            </w:r>
          </w:p>
          <w:p w:rsidR="00DB2EF9" w:rsidRPr="00D16865" w:rsidRDefault="00DB2EF9" w:rsidP="00DB2EF9">
            <w:pPr>
              <w:rPr>
                <w:lang w:val="en-US"/>
              </w:rPr>
            </w:pPr>
            <w:r w:rsidRPr="00D16865">
              <w:rPr>
                <w:lang w:val="en-US"/>
              </w:rPr>
              <w:t xml:space="preserve">TOMC cohort: 18 MCI with </w:t>
            </w:r>
            <w:proofErr w:type="spellStart"/>
            <w:r w:rsidRPr="00D16865">
              <w:rPr>
                <w:lang w:val="en-US"/>
              </w:rPr>
              <w:t>pAD</w:t>
            </w:r>
            <w:proofErr w:type="spellEnd"/>
            <w:r w:rsidRPr="00D16865">
              <w:rPr>
                <w:lang w:val="en-US"/>
              </w:rPr>
              <w:t xml:space="preserve"> and 18 sMCI</w:t>
            </w:r>
          </w:p>
          <w:p w:rsidR="00D000FA" w:rsidRPr="00D16865" w:rsidRDefault="00D000FA" w:rsidP="009A3E78">
            <w:pPr>
              <w:spacing w:after="120"/>
              <w:contextualSpacing/>
              <w:rPr>
                <w:rFonts w:eastAsia="Times New Roman" w:cs="Arial"/>
                <w:lang w:val="en-US" w:eastAsia="en-GB"/>
              </w:rPr>
            </w:pPr>
            <w:r w:rsidRPr="00D16865">
              <w:rPr>
                <w:rFonts w:eastAsia="Times New Roman" w:cs="Arial"/>
                <w:u w:val="single"/>
                <w:lang w:val="en-US" w:eastAsia="en-GB"/>
              </w:rPr>
              <w:t xml:space="preserve">Gender: </w:t>
            </w:r>
            <w:r w:rsidRPr="00D16865">
              <w:rPr>
                <w:rFonts w:eastAsia="Times New Roman" w:cs="Arial"/>
                <w:lang w:val="en-US" w:eastAsia="en-GB"/>
              </w:rPr>
              <w:t xml:space="preserve"> </w:t>
            </w:r>
            <w:r w:rsidR="00363A34" w:rsidRPr="00D16865">
              <w:rPr>
                <w:rFonts w:eastAsia="Times New Roman" w:cs="Arial"/>
                <w:lang w:val="en-US" w:eastAsia="en-GB"/>
              </w:rPr>
              <w:t xml:space="preserve">ADNI: </w:t>
            </w:r>
            <w:r w:rsidR="00DB2EF9" w:rsidRPr="00D16865">
              <w:rPr>
                <w:rFonts w:eastAsia="Times New Roman" w:cs="Arial"/>
                <w:lang w:val="en-US" w:eastAsia="en-GB"/>
              </w:rPr>
              <w:t xml:space="preserve">MCI converters </w:t>
            </w:r>
            <w:r w:rsidR="00363A34" w:rsidRPr="00D16865">
              <w:rPr>
                <w:rFonts w:eastAsia="Times New Roman" w:cs="Arial"/>
                <w:lang w:val="en-US" w:eastAsia="en-GB"/>
              </w:rPr>
              <w:t xml:space="preserve">10 women and 14 men; MCI </w:t>
            </w:r>
            <w:r w:rsidR="00DB2EF9" w:rsidRPr="00D16865">
              <w:rPr>
                <w:rFonts w:eastAsia="Times New Roman" w:cs="Arial"/>
                <w:lang w:val="en-US" w:eastAsia="en-GB"/>
              </w:rPr>
              <w:t xml:space="preserve">non-MCI converters </w:t>
            </w:r>
            <w:r w:rsidR="00363A34" w:rsidRPr="00D16865">
              <w:rPr>
                <w:rFonts w:eastAsia="Times New Roman" w:cs="Arial"/>
                <w:lang w:val="en-US" w:eastAsia="en-GB"/>
              </w:rPr>
              <w:t>13 women and 20 men</w:t>
            </w:r>
            <w:r w:rsidR="00DB2EF9" w:rsidRPr="00D16865">
              <w:rPr>
                <w:rFonts w:eastAsia="Times New Roman" w:cs="Arial"/>
                <w:lang w:val="en-US" w:eastAsia="en-GB"/>
              </w:rPr>
              <w:t xml:space="preserve">; </w:t>
            </w:r>
            <w:r w:rsidR="00363A34" w:rsidRPr="00D16865">
              <w:rPr>
                <w:rFonts w:eastAsia="Times New Roman" w:cs="Arial"/>
                <w:lang w:val="en-US" w:eastAsia="en-GB"/>
              </w:rPr>
              <w:t xml:space="preserve">TOMC: </w:t>
            </w:r>
            <w:r w:rsidR="00DB2EF9" w:rsidRPr="00D16865">
              <w:rPr>
                <w:rFonts w:eastAsia="Times New Roman" w:cs="Arial"/>
                <w:lang w:val="en-US" w:eastAsia="en-GB"/>
              </w:rPr>
              <w:t xml:space="preserve">MCI converters </w:t>
            </w:r>
            <w:r w:rsidR="00363A34" w:rsidRPr="00D16865">
              <w:rPr>
                <w:rFonts w:eastAsia="Times New Roman" w:cs="Arial"/>
                <w:lang w:val="en-US" w:eastAsia="en-GB"/>
              </w:rPr>
              <w:t>12 women and 6 men</w:t>
            </w:r>
            <w:r w:rsidR="00DB2EF9" w:rsidRPr="00D16865">
              <w:rPr>
                <w:rFonts w:eastAsia="Times New Roman" w:cs="Arial"/>
                <w:lang w:val="en-US" w:eastAsia="en-GB"/>
              </w:rPr>
              <w:t xml:space="preserve">; non-MCI converters </w:t>
            </w:r>
            <w:r w:rsidR="00363A34" w:rsidRPr="00D16865">
              <w:rPr>
                <w:rFonts w:eastAsia="Times New Roman" w:cs="Arial"/>
                <w:lang w:val="en-US" w:eastAsia="en-GB"/>
              </w:rPr>
              <w:t xml:space="preserve">9 women and 9 </w:t>
            </w:r>
            <w:r w:rsidRPr="00D16865">
              <w:rPr>
                <w:rFonts w:eastAsia="Times New Roman" w:cs="Arial"/>
                <w:lang w:val="en-US" w:eastAsia="en-GB"/>
              </w:rPr>
              <w:t>women</w:t>
            </w:r>
          </w:p>
          <w:p w:rsidR="00D000FA" w:rsidRPr="00D16865" w:rsidRDefault="00D000FA" w:rsidP="009A3E78">
            <w:pPr>
              <w:spacing w:after="120"/>
              <w:contextualSpacing/>
              <w:rPr>
                <w:rFonts w:eastAsia="Times New Roman" w:cs="Arial"/>
                <w:lang w:val="en-US" w:eastAsia="en-GB"/>
              </w:rPr>
            </w:pPr>
            <w:r w:rsidRPr="00D16865">
              <w:rPr>
                <w:rFonts w:eastAsia="Times New Roman" w:cs="Arial"/>
                <w:u w:val="single"/>
                <w:lang w:val="en-US" w:eastAsia="en-GB"/>
              </w:rPr>
              <w:t>Age</w:t>
            </w:r>
            <w:r w:rsidR="00363A34" w:rsidRPr="00D16865">
              <w:rPr>
                <w:rFonts w:eastAsia="Times New Roman" w:cs="Arial"/>
                <w:u w:val="single"/>
                <w:lang w:val="en-US" w:eastAsia="en-GB"/>
              </w:rPr>
              <w:t xml:space="preserve"> (y)</w:t>
            </w:r>
            <w:r w:rsidRPr="00D16865">
              <w:rPr>
                <w:rFonts w:eastAsia="Times New Roman" w:cs="Arial"/>
                <w:u w:val="single"/>
                <w:lang w:val="en-US" w:eastAsia="en-GB"/>
              </w:rPr>
              <w:t>:</w:t>
            </w:r>
            <w:r w:rsidRPr="00D16865">
              <w:rPr>
                <w:rFonts w:eastAsia="Times New Roman" w:cs="Arial"/>
                <w:lang w:val="en-US" w:eastAsia="en-GB"/>
              </w:rPr>
              <w:t xml:space="preserve"> </w:t>
            </w:r>
            <w:r w:rsidR="00363A34" w:rsidRPr="00D16865">
              <w:rPr>
                <w:rFonts w:eastAsia="Times New Roman" w:cs="Arial"/>
                <w:lang w:val="en-US" w:eastAsia="en-GB"/>
              </w:rPr>
              <w:t xml:space="preserve">ADNI </w:t>
            </w:r>
            <w:r w:rsidRPr="00D16865">
              <w:rPr>
                <w:rFonts w:eastAsia="Times New Roman" w:cs="Arial"/>
                <w:lang w:val="en-US" w:eastAsia="en-GB"/>
              </w:rPr>
              <w:t xml:space="preserve">MCI converters </w:t>
            </w:r>
            <w:r w:rsidR="00363A34" w:rsidRPr="00D16865">
              <w:rPr>
                <w:rFonts w:eastAsia="Times New Roman" w:cs="Arial"/>
                <w:lang w:val="en-US" w:eastAsia="en-GB"/>
              </w:rPr>
              <w:t>75</w:t>
            </w:r>
            <w:r w:rsidRPr="00D16865">
              <w:rPr>
                <w:rFonts w:eastAsia="Times New Roman" w:cs="Arial"/>
                <w:lang w:val="en-US" w:eastAsia="en-GB"/>
              </w:rPr>
              <w:t>±</w:t>
            </w:r>
            <w:r w:rsidR="00363A34" w:rsidRPr="00D16865">
              <w:rPr>
                <w:rFonts w:eastAsia="Times New Roman" w:cs="Arial"/>
                <w:lang w:val="en-US" w:eastAsia="en-GB"/>
              </w:rPr>
              <w:t>8 (range 55-89)</w:t>
            </w:r>
            <w:r w:rsidRPr="00D16865">
              <w:rPr>
                <w:rFonts w:eastAsia="Times New Roman" w:cs="Arial"/>
                <w:lang w:val="en-US" w:eastAsia="en-GB"/>
              </w:rPr>
              <w:t xml:space="preserve">; non-MCI converters </w:t>
            </w:r>
            <w:r w:rsidR="00363A34" w:rsidRPr="00D16865">
              <w:rPr>
                <w:rFonts w:eastAsia="Times New Roman" w:cs="Arial"/>
                <w:lang w:val="en-US" w:eastAsia="en-GB"/>
              </w:rPr>
              <w:t>75±8 (range 55-89)</w:t>
            </w:r>
            <w:r w:rsidR="00DB2EF9" w:rsidRPr="00D16865">
              <w:rPr>
                <w:rFonts w:eastAsia="Times New Roman" w:cs="Arial"/>
                <w:lang w:val="en-US" w:eastAsia="en-GB"/>
              </w:rPr>
              <w:t xml:space="preserve">; </w:t>
            </w:r>
            <w:r w:rsidR="00363A34" w:rsidRPr="00D16865">
              <w:rPr>
                <w:rFonts w:eastAsia="Times New Roman" w:cs="Arial"/>
                <w:lang w:val="en-US" w:eastAsia="en-GB"/>
              </w:rPr>
              <w:t xml:space="preserve">TOMC: </w:t>
            </w:r>
            <w:r w:rsidR="00DB2EF9" w:rsidRPr="00D16865">
              <w:rPr>
                <w:rFonts w:eastAsia="Times New Roman" w:cs="Arial"/>
                <w:lang w:val="en-US" w:eastAsia="en-GB"/>
              </w:rPr>
              <w:t xml:space="preserve">MCI converters </w:t>
            </w:r>
            <w:r w:rsidR="00363A34" w:rsidRPr="00D16865">
              <w:rPr>
                <w:rFonts w:eastAsia="Times New Roman" w:cs="Arial"/>
                <w:lang w:val="en-US" w:eastAsia="en-GB"/>
              </w:rPr>
              <w:t xml:space="preserve">71±8 </w:t>
            </w:r>
            <w:r w:rsidR="00363A34" w:rsidRPr="00D16865">
              <w:rPr>
                <w:rFonts w:eastAsia="Times New Roman" w:cs="Arial"/>
                <w:lang w:val="en-US" w:eastAsia="en-GB"/>
              </w:rPr>
              <w:lastRenderedPageBreak/>
              <w:t>(range 54-83)</w:t>
            </w:r>
            <w:r w:rsidR="00DB2EF9" w:rsidRPr="00D16865">
              <w:rPr>
                <w:rFonts w:eastAsia="Times New Roman" w:cs="Arial"/>
                <w:lang w:val="en-US" w:eastAsia="en-GB"/>
              </w:rPr>
              <w:t xml:space="preserve">; non-MCI converters </w:t>
            </w:r>
            <w:r w:rsidR="00363A34" w:rsidRPr="00D16865">
              <w:rPr>
                <w:rFonts w:eastAsia="Times New Roman" w:cs="Arial"/>
                <w:lang w:val="en-US" w:eastAsia="en-GB"/>
              </w:rPr>
              <w:t>72.8</w:t>
            </w:r>
            <w:proofErr w:type="gramStart"/>
            <w:r w:rsidR="00363A34" w:rsidRPr="00D16865">
              <w:rPr>
                <w:rFonts w:eastAsia="Times New Roman" w:cs="Arial"/>
                <w:lang w:val="en-US" w:eastAsia="en-GB"/>
              </w:rPr>
              <w:t>±(</w:t>
            </w:r>
            <w:proofErr w:type="gramEnd"/>
            <w:r w:rsidR="00363A34" w:rsidRPr="00D16865">
              <w:rPr>
                <w:rFonts w:eastAsia="Times New Roman" w:cs="Arial"/>
                <w:lang w:val="en-US" w:eastAsia="en-GB"/>
              </w:rPr>
              <w:t>range 51-85)</w:t>
            </w:r>
          </w:p>
          <w:p w:rsidR="00D000FA" w:rsidRPr="00D16865" w:rsidRDefault="00D000FA" w:rsidP="009A3E78">
            <w:pPr>
              <w:spacing w:after="120"/>
              <w:contextualSpacing/>
              <w:rPr>
                <w:rFonts w:eastAsia="Times New Roman" w:cs="Arial"/>
                <w:lang w:val="en-US" w:eastAsia="en-GB"/>
              </w:rPr>
            </w:pPr>
            <w:r w:rsidRPr="00D16865">
              <w:rPr>
                <w:rFonts w:eastAsia="Times New Roman" w:cs="Arial"/>
                <w:u w:val="single"/>
                <w:lang w:val="en-US" w:eastAsia="en-GB"/>
              </w:rPr>
              <w:t>APOE ε4 carrier:</w:t>
            </w:r>
            <w:r w:rsidRPr="00D16865">
              <w:rPr>
                <w:rFonts w:eastAsia="Times New Roman" w:cs="Arial"/>
                <w:lang w:val="en-US" w:eastAsia="en-GB"/>
              </w:rPr>
              <w:t xml:space="preserve"> </w:t>
            </w:r>
            <w:r w:rsidR="00363A34" w:rsidRPr="00D16865">
              <w:rPr>
                <w:rFonts w:eastAsia="Times New Roman" w:cs="Arial"/>
                <w:lang w:val="en-US" w:eastAsia="en-GB"/>
              </w:rPr>
              <w:t>not reported</w:t>
            </w:r>
          </w:p>
          <w:p w:rsidR="00D000FA" w:rsidRPr="00D16865" w:rsidRDefault="00D000FA" w:rsidP="009A3E78">
            <w:pPr>
              <w:spacing w:after="120"/>
              <w:contextualSpacing/>
              <w:rPr>
                <w:rFonts w:eastAsia="Times New Roman" w:cs="Arial"/>
                <w:lang w:val="en-US" w:eastAsia="en-GB"/>
              </w:rPr>
            </w:pPr>
            <w:r w:rsidRPr="00D16865">
              <w:rPr>
                <w:rFonts w:eastAsia="Times New Roman" w:cs="Arial"/>
                <w:u w:val="single"/>
                <w:lang w:val="en-US" w:eastAsia="en-GB"/>
              </w:rPr>
              <w:t>MMSE:</w:t>
            </w:r>
            <w:r w:rsidRPr="00D16865">
              <w:rPr>
                <w:rFonts w:eastAsia="Times New Roman" w:cs="Arial"/>
                <w:lang w:val="en-US" w:eastAsia="en-GB"/>
              </w:rPr>
              <w:t xml:space="preserve"> </w:t>
            </w:r>
            <w:r w:rsidR="00363A34" w:rsidRPr="00D16865">
              <w:rPr>
                <w:rFonts w:eastAsia="Times New Roman" w:cs="Arial"/>
                <w:lang w:val="en-US" w:eastAsia="en-GB"/>
              </w:rPr>
              <w:t>ADNI: MCI converters 28±2 (range 24-29; non-MCI converters 27±2 (range 24-30)</w:t>
            </w:r>
          </w:p>
          <w:p w:rsidR="00D000FA" w:rsidRPr="00D16865" w:rsidRDefault="00D000FA" w:rsidP="009A3E78">
            <w:pPr>
              <w:spacing w:after="120"/>
              <w:contextualSpacing/>
              <w:rPr>
                <w:rFonts w:eastAsia="Times New Roman" w:cs="Arial"/>
                <w:lang w:val="en-US" w:eastAsia="en-GB"/>
              </w:rPr>
            </w:pPr>
            <w:r w:rsidRPr="00D16865">
              <w:rPr>
                <w:rFonts w:eastAsia="Times New Roman" w:cs="Arial"/>
                <w:u w:val="single"/>
                <w:lang w:val="en-US" w:eastAsia="en-GB"/>
              </w:rPr>
              <w:t>Education</w:t>
            </w:r>
            <w:r w:rsidR="001C7711" w:rsidRPr="00D16865">
              <w:rPr>
                <w:rFonts w:eastAsia="Times New Roman" w:cs="Arial"/>
                <w:u w:val="single"/>
                <w:lang w:val="en-US" w:eastAsia="en-GB"/>
              </w:rPr>
              <w:t xml:space="preserve"> (y)</w:t>
            </w:r>
            <w:r w:rsidRPr="00D16865">
              <w:rPr>
                <w:rFonts w:eastAsia="Times New Roman" w:cs="Arial"/>
                <w:u w:val="single"/>
                <w:lang w:val="en-US" w:eastAsia="en-GB"/>
              </w:rPr>
              <w:t>:</w:t>
            </w:r>
            <w:r w:rsidR="00363A34" w:rsidRPr="00D16865">
              <w:rPr>
                <w:rFonts w:eastAsia="Times New Roman" w:cs="Arial"/>
                <w:lang w:val="en-US" w:eastAsia="en-GB"/>
              </w:rPr>
              <w:t xml:space="preserve"> not reported</w:t>
            </w:r>
          </w:p>
          <w:p w:rsidR="00D000FA" w:rsidRPr="00D16865" w:rsidRDefault="00D000FA" w:rsidP="006D0DE4">
            <w:pPr>
              <w:autoSpaceDE w:val="0"/>
              <w:autoSpaceDN w:val="0"/>
              <w:adjustRightInd w:val="0"/>
              <w:rPr>
                <w:rFonts w:eastAsia="Times New Roman" w:cs="Arial"/>
                <w:lang w:val="en-US" w:eastAsia="en-GB"/>
              </w:rPr>
            </w:pPr>
            <w:r w:rsidRPr="00D16865">
              <w:rPr>
                <w:rFonts w:eastAsia="Times New Roman" w:cs="Arial"/>
                <w:u w:val="single"/>
                <w:lang w:val="en-US" w:eastAsia="en-GB"/>
              </w:rPr>
              <w:t>Sources of referral:</w:t>
            </w:r>
            <w:r w:rsidRPr="00D16865">
              <w:rPr>
                <w:rFonts w:eastAsia="Times New Roman" w:cs="Arial"/>
                <w:lang w:val="en-US" w:eastAsia="en-GB"/>
              </w:rPr>
              <w:t xml:space="preserve"> not reported</w:t>
            </w:r>
            <w:r w:rsidR="006D0DE4" w:rsidRPr="00D16865">
              <w:rPr>
                <w:rFonts w:eastAsia="Times New Roman" w:cs="Arial"/>
                <w:lang w:val="en-US" w:eastAsia="en-GB"/>
              </w:rPr>
              <w:t xml:space="preserve"> for ADNI patients; TOMC </w:t>
            </w:r>
            <w:r w:rsidR="006D0DE4" w:rsidRPr="00D16865">
              <w:rPr>
                <w:rFonts w:cs="Times New Roman"/>
                <w:lang w:val="en-US"/>
              </w:rPr>
              <w:t xml:space="preserve">patients are self-referred or referred by general practitioners or specialists </w:t>
            </w:r>
          </w:p>
          <w:p w:rsidR="00D000FA" w:rsidRPr="00D16865" w:rsidRDefault="00D000FA" w:rsidP="0020603E">
            <w:pPr>
              <w:spacing w:after="120"/>
              <w:contextualSpacing/>
              <w:rPr>
                <w:rFonts w:eastAsia="Times New Roman" w:cs="Arial"/>
                <w:lang w:val="en-US" w:eastAsia="en-GB"/>
              </w:rPr>
            </w:pPr>
            <w:r w:rsidRPr="00D16865">
              <w:rPr>
                <w:rFonts w:eastAsia="Times New Roman" w:cs="Arial"/>
                <w:u w:val="single"/>
                <w:lang w:val="en-US" w:eastAsia="en-GB"/>
              </w:rPr>
              <w:t>Setting:</w:t>
            </w:r>
            <w:r w:rsidRPr="00D16865">
              <w:rPr>
                <w:rFonts w:eastAsia="Times New Roman" w:cs="Arial"/>
                <w:lang w:val="en-US" w:eastAsia="en-GB"/>
              </w:rPr>
              <w:t xml:space="preserve"> </w:t>
            </w:r>
            <w:r w:rsidR="004C661D" w:rsidRPr="00D16865">
              <w:rPr>
                <w:rFonts w:eastAsia="Times New Roman" w:cs="Arial"/>
                <w:lang w:val="en-US" w:eastAsia="en-GB"/>
              </w:rPr>
              <w:t>multicenter</w:t>
            </w:r>
          </w:p>
        </w:tc>
      </w:tr>
      <w:tr w:rsidR="00D000FA" w:rsidRPr="00D16865" w:rsidTr="0031616E">
        <w:tc>
          <w:tcPr>
            <w:tcW w:w="2771" w:type="dxa"/>
          </w:tcPr>
          <w:p w:rsidR="00D000FA" w:rsidRPr="00D16865" w:rsidRDefault="00D000FA" w:rsidP="009A3E78">
            <w:pPr>
              <w:rPr>
                <w:b/>
                <w:lang w:val="en-US"/>
              </w:rPr>
            </w:pPr>
            <w:r w:rsidRPr="00D16865">
              <w:rPr>
                <w:b/>
                <w:lang w:val="en-US"/>
              </w:rPr>
              <w:lastRenderedPageBreak/>
              <w:t>Index test</w:t>
            </w:r>
          </w:p>
        </w:tc>
        <w:tc>
          <w:tcPr>
            <w:tcW w:w="11177" w:type="dxa"/>
          </w:tcPr>
          <w:p w:rsidR="00D000FA" w:rsidRPr="00D16865" w:rsidRDefault="00D000FA" w:rsidP="009A3E78">
            <w:pPr>
              <w:autoSpaceDE w:val="0"/>
              <w:autoSpaceDN w:val="0"/>
              <w:adjustRightInd w:val="0"/>
              <w:rPr>
                <w:rFonts w:cs="Times-Roman"/>
                <w:lang w:val="en-US"/>
              </w:rPr>
            </w:pPr>
            <w:r w:rsidRPr="00D16865">
              <w:rPr>
                <w:vertAlign w:val="superscript"/>
                <w:lang w:val="en-US"/>
              </w:rPr>
              <w:t>18</w:t>
            </w:r>
            <w:r w:rsidR="00013AF7" w:rsidRPr="00D16865">
              <w:rPr>
                <w:lang w:val="en-US"/>
              </w:rPr>
              <w:t>F-</w:t>
            </w:r>
            <w:r w:rsidRPr="00D16865">
              <w:rPr>
                <w:lang w:val="en-US"/>
              </w:rPr>
              <w:t>FDG PET</w:t>
            </w:r>
            <w:r w:rsidRPr="00D16865">
              <w:rPr>
                <w:rFonts w:cs="Times-Roman"/>
                <w:lang w:val="en-US"/>
              </w:rPr>
              <w:t xml:space="preserve"> scan</w:t>
            </w:r>
          </w:p>
          <w:p w:rsidR="0020603E" w:rsidRPr="00D16865" w:rsidRDefault="0020603E" w:rsidP="009A3E78">
            <w:pPr>
              <w:autoSpaceDE w:val="0"/>
              <w:autoSpaceDN w:val="0"/>
              <w:adjustRightInd w:val="0"/>
              <w:rPr>
                <w:rFonts w:cs="Times-Roman"/>
                <w:lang w:val="en-US"/>
              </w:rPr>
            </w:pPr>
            <w:r w:rsidRPr="00D16865">
              <w:rPr>
                <w:rFonts w:cs="Times-Roman"/>
                <w:u w:val="single"/>
                <w:lang w:val="en-US"/>
              </w:rPr>
              <w:t>Acquisition</w:t>
            </w:r>
          </w:p>
          <w:p w:rsidR="00400FED" w:rsidRPr="00D16865" w:rsidRDefault="00400FED" w:rsidP="00400FED">
            <w:pPr>
              <w:autoSpaceDE w:val="0"/>
              <w:autoSpaceDN w:val="0"/>
              <w:adjustRightInd w:val="0"/>
              <w:rPr>
                <w:rFonts w:cs="AdvPSA88A"/>
                <w:lang w:val="en-US"/>
              </w:rPr>
            </w:pPr>
            <w:r w:rsidRPr="00D16865">
              <w:rPr>
                <w:rFonts w:cs="AdvPSA88A"/>
                <w:lang w:val="en-US"/>
              </w:rPr>
              <w:t>ADNI FDG-PET images were acquired using 17 different scanner models from three vendors (Philips, Siemens, and General Electric) with varying manufacturers’ countries. PET sites were approved initially for PET scanning by performing a pair of phantom scans on the three-dimensional Hoffman brain phantom following a protocol that matched the acquisition and reconstruction parameters to be used for the human phase of the ADNI project.</w:t>
            </w:r>
          </w:p>
          <w:p w:rsidR="0020603E" w:rsidRPr="00D16865" w:rsidRDefault="0020603E" w:rsidP="009A3E78">
            <w:pPr>
              <w:autoSpaceDE w:val="0"/>
              <w:autoSpaceDN w:val="0"/>
              <w:adjustRightInd w:val="0"/>
              <w:rPr>
                <w:rFonts w:cs="Times-Roman"/>
                <w:u w:val="single"/>
                <w:lang w:val="en-US"/>
              </w:rPr>
            </w:pPr>
            <w:r w:rsidRPr="00D16865">
              <w:rPr>
                <w:rFonts w:cs="Times-Roman"/>
                <w:u w:val="single"/>
                <w:lang w:val="en-US"/>
              </w:rPr>
              <w:t>Data analysis</w:t>
            </w:r>
          </w:p>
          <w:p w:rsidR="00400FED" w:rsidRPr="00D16865" w:rsidRDefault="00400FED" w:rsidP="00400FED">
            <w:pPr>
              <w:autoSpaceDE w:val="0"/>
              <w:autoSpaceDN w:val="0"/>
              <w:adjustRightInd w:val="0"/>
              <w:rPr>
                <w:rFonts w:cs="AdvPSA88A"/>
                <w:color w:val="000000"/>
                <w:lang w:val="en-US"/>
              </w:rPr>
            </w:pPr>
            <w:r w:rsidRPr="00D16865">
              <w:rPr>
                <w:rFonts w:cs="AdvPSA88A"/>
                <w:color w:val="000000"/>
                <w:lang w:val="en-US"/>
              </w:rPr>
              <w:t xml:space="preserve">FDG-PET indices of AD-related hypometabolism were the PMOD Alzheimer’s discrimination analysis tool (PALZ), the hypometabolic convergence index (HCI), and the meta-region of interest (ROI) average. All metrics are based on voxel-by-voxel analysis of </w:t>
            </w:r>
            <w:r w:rsidR="0065775A" w:rsidRPr="00D16865">
              <w:rPr>
                <w:rFonts w:cs="Arial"/>
                <w:vertAlign w:val="superscript"/>
                <w:lang w:val="en-US"/>
              </w:rPr>
              <w:t>18</w:t>
            </w:r>
            <w:r w:rsidR="0065775A" w:rsidRPr="00D16865">
              <w:rPr>
                <w:rFonts w:cs="Arial"/>
                <w:lang w:val="en-US"/>
              </w:rPr>
              <w:t>F-FDG PET</w:t>
            </w:r>
            <w:r w:rsidRPr="00D16865">
              <w:rPr>
                <w:rFonts w:cs="AdvPSA88A"/>
                <w:color w:val="000000"/>
                <w:lang w:val="en-US"/>
              </w:rPr>
              <w:t xml:space="preserve"> scans and provide a single measure of AD-related hypometabolism; however, they are computed using different processing procedures.</w:t>
            </w:r>
          </w:p>
          <w:p w:rsidR="00DE189B" w:rsidRPr="00D16865" w:rsidRDefault="00D000FA" w:rsidP="00DE189B">
            <w:pPr>
              <w:rPr>
                <w:lang w:val="en-US"/>
              </w:rPr>
            </w:pPr>
            <w:r w:rsidRPr="00D16865">
              <w:rPr>
                <w:u w:val="single"/>
                <w:lang w:val="en-US"/>
              </w:rPr>
              <w:t>Threshold</w:t>
            </w:r>
            <w:r w:rsidR="008E271E" w:rsidRPr="00D16865">
              <w:rPr>
                <w:u w:val="single"/>
                <w:lang w:val="en-US"/>
              </w:rPr>
              <w:t>s</w:t>
            </w:r>
            <w:r w:rsidR="00DE189B" w:rsidRPr="00D16865">
              <w:rPr>
                <w:lang w:val="en-US"/>
              </w:rPr>
              <w:t xml:space="preserve">: cut-offs were computed based on their performance in correctly identifying 148 </w:t>
            </w:r>
            <w:proofErr w:type="gramStart"/>
            <w:r w:rsidR="00DE189B" w:rsidRPr="00D16865">
              <w:rPr>
                <w:lang w:val="en-US"/>
              </w:rPr>
              <w:t>elderly</w:t>
            </w:r>
            <w:proofErr w:type="gramEnd"/>
            <w:r w:rsidR="00DE189B" w:rsidRPr="00D16865">
              <w:rPr>
                <w:lang w:val="en-US"/>
              </w:rPr>
              <w:t xml:space="preserve"> with normal cognition (normative dataset), imposing 95% level of specificity. </w:t>
            </w:r>
          </w:p>
          <w:p w:rsidR="006D0DE4" w:rsidRPr="00D16865" w:rsidRDefault="008E271E" w:rsidP="008E271E">
            <w:pPr>
              <w:autoSpaceDE w:val="0"/>
              <w:autoSpaceDN w:val="0"/>
              <w:adjustRightInd w:val="0"/>
              <w:rPr>
                <w:rFonts w:cs="Times New Roman"/>
                <w:lang w:val="en-US"/>
              </w:rPr>
            </w:pPr>
            <w:r w:rsidRPr="00D16865">
              <w:rPr>
                <w:lang w:val="en-US"/>
              </w:rPr>
              <w:t>PALZ (</w:t>
            </w:r>
            <w:r w:rsidRPr="00D16865">
              <w:rPr>
                <w:rFonts w:cs="Times New Roman"/>
                <w:lang w:val="en-US"/>
              </w:rPr>
              <w:t>sum of t-scores within a predefined</w:t>
            </w:r>
            <w:r w:rsidR="003F3254" w:rsidRPr="00D16865">
              <w:rPr>
                <w:rFonts w:cs="Times New Roman"/>
                <w:lang w:val="en-US"/>
              </w:rPr>
              <w:t xml:space="preserve"> </w:t>
            </w:r>
            <w:r w:rsidRPr="00D16865">
              <w:rPr>
                <w:rFonts w:cs="Times New Roman"/>
                <w:lang w:val="en-US"/>
              </w:rPr>
              <w:t>AD mask) t=13,48 for ADNI; t=13,481 for TOMC</w:t>
            </w:r>
          </w:p>
          <w:p w:rsidR="008E271E" w:rsidRPr="00D16865" w:rsidRDefault="008E271E" w:rsidP="008E271E">
            <w:pPr>
              <w:autoSpaceDE w:val="0"/>
              <w:autoSpaceDN w:val="0"/>
              <w:adjustRightInd w:val="0"/>
              <w:rPr>
                <w:rFonts w:cs="Times New Roman"/>
                <w:lang w:val="en-US"/>
              </w:rPr>
            </w:pPr>
            <w:r w:rsidRPr="00D16865">
              <w:rPr>
                <w:rFonts w:cs="Times New Roman"/>
                <w:lang w:val="en-US"/>
              </w:rPr>
              <w:t>HCI (inner-product of individual and pre-defined AD Z-score maps</w:t>
            </w:r>
            <w:r w:rsidR="00DE189B" w:rsidRPr="00D16865">
              <w:rPr>
                <w:rFonts w:cs="Times New Roman"/>
                <w:lang w:val="en-US"/>
              </w:rPr>
              <w:t xml:space="preserve">): </w:t>
            </w:r>
            <w:r w:rsidRPr="00D16865">
              <w:rPr>
                <w:rFonts w:cs="Times New Roman"/>
                <w:lang w:val="en-US"/>
              </w:rPr>
              <w:t>1.055 for both ADNI and TOMC</w:t>
            </w:r>
          </w:p>
          <w:p w:rsidR="008E271E" w:rsidRPr="00D16865" w:rsidRDefault="00DE189B" w:rsidP="00400FED">
            <w:pPr>
              <w:autoSpaceDE w:val="0"/>
              <w:autoSpaceDN w:val="0"/>
              <w:adjustRightInd w:val="0"/>
              <w:rPr>
                <w:rFonts w:cs="Times New Roman"/>
                <w:lang w:val="en-US"/>
              </w:rPr>
            </w:pPr>
            <w:r w:rsidRPr="00D16865">
              <w:rPr>
                <w:rFonts w:cs="Times New Roman"/>
                <w:lang w:val="en-US"/>
              </w:rPr>
              <w:t>Meta ROI average (average of mean counts in 5 meta</w:t>
            </w:r>
            <w:r w:rsidR="0020603E" w:rsidRPr="00D16865">
              <w:rPr>
                <w:rFonts w:cs="Times New Roman"/>
                <w:lang w:val="en-US"/>
              </w:rPr>
              <w:t xml:space="preserve"> </w:t>
            </w:r>
            <w:r w:rsidRPr="00D16865">
              <w:rPr>
                <w:rFonts w:cs="Times New Roman"/>
                <w:lang w:val="en-US"/>
              </w:rPr>
              <w:t>ROI volumes): w=2.60 for both ADNI and TOMC</w:t>
            </w:r>
          </w:p>
        </w:tc>
      </w:tr>
      <w:tr w:rsidR="00D000FA" w:rsidRPr="00D16865" w:rsidTr="0031616E">
        <w:tc>
          <w:tcPr>
            <w:tcW w:w="2771" w:type="dxa"/>
          </w:tcPr>
          <w:p w:rsidR="00D000FA" w:rsidRPr="00D16865" w:rsidRDefault="00D000FA" w:rsidP="009A3E78">
            <w:pPr>
              <w:rPr>
                <w:b/>
                <w:lang w:val="en-US"/>
              </w:rPr>
            </w:pPr>
            <w:r w:rsidRPr="00D16865">
              <w:rPr>
                <w:b/>
                <w:lang w:val="en-US"/>
              </w:rPr>
              <w:t>Target condition</w:t>
            </w:r>
          </w:p>
        </w:tc>
        <w:tc>
          <w:tcPr>
            <w:tcW w:w="11177" w:type="dxa"/>
          </w:tcPr>
          <w:p w:rsidR="00D000FA" w:rsidRPr="00D16865" w:rsidRDefault="00D000FA" w:rsidP="009A3E78">
            <w:pPr>
              <w:contextualSpacing/>
              <w:rPr>
                <w:lang w:val="en-US"/>
              </w:rPr>
            </w:pPr>
            <w:r w:rsidRPr="00D16865">
              <w:rPr>
                <w:u w:val="single"/>
                <w:lang w:val="en-US"/>
              </w:rPr>
              <w:t>Target condition</w:t>
            </w:r>
            <w:r w:rsidRPr="00D16865">
              <w:rPr>
                <w:lang w:val="en-US"/>
              </w:rPr>
              <w:t>: conversion from MCI to Alzheimer’s disease dementia</w:t>
            </w:r>
          </w:p>
          <w:p w:rsidR="00D000FA" w:rsidRPr="00D16865" w:rsidRDefault="00D000FA" w:rsidP="009A3E78">
            <w:pPr>
              <w:rPr>
                <w:lang w:val="en-US"/>
              </w:rPr>
            </w:pPr>
            <w:r w:rsidRPr="00D16865">
              <w:rPr>
                <w:u w:val="single"/>
                <w:lang w:val="en-US"/>
              </w:rPr>
              <w:t>Reference standard</w:t>
            </w:r>
            <w:r w:rsidRPr="00D16865">
              <w:rPr>
                <w:lang w:val="en-US"/>
              </w:rPr>
              <w:t xml:space="preserve">: </w:t>
            </w:r>
            <w:r w:rsidRPr="00D16865">
              <w:rPr>
                <w:rFonts w:eastAsia="Times New Roman" w:cs="Arial"/>
                <w:lang w:val="en-US" w:eastAsia="en-GB"/>
              </w:rPr>
              <w:t xml:space="preserve">NINCDS-ADRDA </w:t>
            </w:r>
          </w:p>
        </w:tc>
      </w:tr>
      <w:tr w:rsidR="00D000FA" w:rsidRPr="00D16865" w:rsidTr="0031616E">
        <w:tc>
          <w:tcPr>
            <w:tcW w:w="2771" w:type="dxa"/>
          </w:tcPr>
          <w:p w:rsidR="00D000FA" w:rsidRPr="00D16865" w:rsidRDefault="00D000FA" w:rsidP="009A3E78">
            <w:pPr>
              <w:rPr>
                <w:b/>
                <w:lang w:val="en-US"/>
              </w:rPr>
            </w:pPr>
            <w:r w:rsidRPr="00D16865">
              <w:rPr>
                <w:b/>
                <w:lang w:val="en-US"/>
              </w:rPr>
              <w:t>Flow and timing</w:t>
            </w:r>
          </w:p>
        </w:tc>
        <w:tc>
          <w:tcPr>
            <w:tcW w:w="11177" w:type="dxa"/>
          </w:tcPr>
          <w:p w:rsidR="00D000FA" w:rsidRPr="00D16865" w:rsidRDefault="00D000FA" w:rsidP="009A3E78">
            <w:pPr>
              <w:spacing w:after="120"/>
              <w:contextualSpacing/>
              <w:rPr>
                <w:rFonts w:eastAsia="Times New Roman" w:cs="Arial"/>
                <w:lang w:val="en-US" w:eastAsia="en-GB"/>
              </w:rPr>
            </w:pPr>
            <w:r w:rsidRPr="00D16865">
              <w:rPr>
                <w:rFonts w:eastAsia="Times New Roman" w:cs="Arial"/>
                <w:lang w:val="en-US" w:eastAsia="en-GB"/>
              </w:rPr>
              <w:t xml:space="preserve">Duration of follow-up: </w:t>
            </w:r>
            <w:r w:rsidR="00400FED" w:rsidRPr="00D16865">
              <w:rPr>
                <w:rFonts w:eastAsia="Times New Roman" w:cs="Arial"/>
                <w:lang w:val="en-US" w:eastAsia="en-GB"/>
              </w:rPr>
              <w:t xml:space="preserve">mean 26±12 </w:t>
            </w:r>
            <w:r w:rsidR="00914EDB" w:rsidRPr="00D16865">
              <w:rPr>
                <w:rFonts w:eastAsia="Times New Roman" w:cs="Arial"/>
                <w:lang w:val="en-US" w:eastAsia="en-GB"/>
              </w:rPr>
              <w:t>months (range 12-36 months)</w:t>
            </w:r>
            <w:r w:rsidR="00400FED" w:rsidRPr="00D16865">
              <w:rPr>
                <w:rFonts w:eastAsia="Times New Roman" w:cs="Arial"/>
                <w:lang w:val="en-US" w:eastAsia="en-GB"/>
              </w:rPr>
              <w:t xml:space="preserve"> TOMC cohort; mean 36±12 months (range 12-48 months) ADNI cohort.</w:t>
            </w:r>
          </w:p>
          <w:p w:rsidR="00914EDB" w:rsidRPr="00D16865" w:rsidRDefault="00914EDB" w:rsidP="00914EDB">
            <w:pPr>
              <w:autoSpaceDE w:val="0"/>
              <w:autoSpaceDN w:val="0"/>
              <w:adjustRightInd w:val="0"/>
              <w:rPr>
                <w:rFonts w:cs="AdvTT3713a231"/>
                <w:color w:val="131413"/>
                <w:lang w:val="en-US"/>
              </w:rPr>
            </w:pPr>
            <w:r w:rsidRPr="00D16865">
              <w:rPr>
                <w:rFonts w:cs="AdvTT3713a231"/>
                <w:color w:val="131413"/>
                <w:lang w:val="en-US"/>
              </w:rPr>
              <w:t>Conversion from MCI to ADD</w:t>
            </w:r>
          </w:p>
          <w:p w:rsidR="00914EDB" w:rsidRPr="00D16865" w:rsidRDefault="00914EDB" w:rsidP="009A3E78">
            <w:pPr>
              <w:autoSpaceDE w:val="0"/>
              <w:autoSpaceDN w:val="0"/>
              <w:adjustRightInd w:val="0"/>
              <w:rPr>
                <w:rFonts w:eastAsia="Times New Roman" w:cs="Arial"/>
                <w:b/>
                <w:lang w:val="en-US" w:eastAsia="en-GB"/>
              </w:rPr>
            </w:pPr>
            <w:r w:rsidRPr="00D16865">
              <w:rPr>
                <w:rFonts w:eastAsia="Times New Roman" w:cs="Arial"/>
                <w:b/>
                <w:lang w:val="en-US" w:eastAsia="en-GB"/>
              </w:rPr>
              <w:t>ADNI cohort</w:t>
            </w:r>
            <w:r w:rsidR="00A26CD5" w:rsidRPr="00D16865">
              <w:rPr>
                <w:rFonts w:eastAsia="Times New Roman" w:cs="Arial"/>
                <w:b/>
                <w:lang w:val="en-US" w:eastAsia="en-GB"/>
              </w:rPr>
              <w:t xml:space="preserve"> </w:t>
            </w:r>
            <w:r w:rsidR="00A26CD5" w:rsidRPr="00D16865">
              <w:rPr>
                <w:rFonts w:eastAsia="Times New Roman" w:cs="Arial"/>
                <w:lang w:val="en-US" w:eastAsia="en-GB"/>
              </w:rPr>
              <w:t>(Table 3, p17)</w:t>
            </w:r>
          </w:p>
          <w:p w:rsidR="00D000FA" w:rsidRPr="00D16865" w:rsidRDefault="00D000FA" w:rsidP="009A3E78">
            <w:pPr>
              <w:autoSpaceDE w:val="0"/>
              <w:autoSpaceDN w:val="0"/>
              <w:adjustRightInd w:val="0"/>
              <w:rPr>
                <w:rFonts w:eastAsia="Times New Roman" w:cs="Arial"/>
                <w:u w:val="single"/>
                <w:lang w:val="en-US" w:eastAsia="en-GB"/>
              </w:rPr>
            </w:pPr>
            <w:r w:rsidRPr="00D16865">
              <w:rPr>
                <w:rFonts w:eastAsia="Times New Roman" w:cs="Arial"/>
                <w:u w:val="single"/>
                <w:lang w:val="en-US" w:eastAsia="en-GB"/>
              </w:rPr>
              <w:t>Number included in analysis (N=</w:t>
            </w:r>
            <w:r w:rsidR="003F3254" w:rsidRPr="00D16865">
              <w:rPr>
                <w:rFonts w:eastAsia="Times New Roman" w:cs="Arial"/>
                <w:u w:val="single"/>
                <w:lang w:val="en-US" w:eastAsia="en-GB"/>
              </w:rPr>
              <w:t>57</w:t>
            </w:r>
            <w:r w:rsidRPr="00D16865">
              <w:rPr>
                <w:rFonts w:eastAsia="Times New Roman" w:cs="Arial"/>
                <w:u w:val="single"/>
                <w:lang w:val="en-US" w:eastAsia="en-GB"/>
              </w:rPr>
              <w:t>)</w:t>
            </w:r>
          </w:p>
          <w:p w:rsidR="00D000FA" w:rsidRPr="00D16865" w:rsidRDefault="00D000FA" w:rsidP="009A3E78">
            <w:pPr>
              <w:autoSpaceDE w:val="0"/>
              <w:autoSpaceDN w:val="0"/>
              <w:adjustRightInd w:val="0"/>
              <w:rPr>
                <w:rFonts w:cs="AdvTT3713a231"/>
                <w:color w:val="131413"/>
                <w:lang w:val="en-US"/>
              </w:rPr>
            </w:pPr>
            <w:r w:rsidRPr="00D16865">
              <w:rPr>
                <w:rFonts w:eastAsia="Times New Roman" w:cs="Arial"/>
                <w:lang w:val="en-US" w:eastAsia="en-GB"/>
              </w:rPr>
              <w:t xml:space="preserve">At follow-up: </w:t>
            </w:r>
            <w:r w:rsidR="00914EDB" w:rsidRPr="00D16865">
              <w:rPr>
                <w:rFonts w:eastAsia="Times New Roman" w:cs="Arial"/>
                <w:lang w:val="en-US" w:eastAsia="en-GB"/>
              </w:rPr>
              <w:t xml:space="preserve">24 </w:t>
            </w:r>
            <w:r w:rsidRPr="00D16865">
              <w:rPr>
                <w:rFonts w:eastAsia="Times New Roman" w:cs="Arial"/>
                <w:lang w:val="en-US" w:eastAsia="en-GB"/>
              </w:rPr>
              <w:t>M</w:t>
            </w:r>
            <w:r w:rsidR="00914EDB" w:rsidRPr="00D16865">
              <w:rPr>
                <w:rFonts w:eastAsia="Times New Roman" w:cs="Arial"/>
                <w:lang w:val="en-US" w:eastAsia="en-GB"/>
              </w:rPr>
              <w:t xml:space="preserve">CI-AD (disease positive); 33 </w:t>
            </w:r>
            <w:r w:rsidRPr="00D16865">
              <w:rPr>
                <w:rFonts w:eastAsia="Times New Roman" w:cs="Arial"/>
                <w:lang w:val="en-US" w:eastAsia="en-GB"/>
              </w:rPr>
              <w:t>MCI-MCI (disease negative</w:t>
            </w:r>
            <w:r w:rsidR="00914EDB" w:rsidRPr="00D16865">
              <w:rPr>
                <w:rFonts w:eastAsia="Times New Roman" w:cs="Arial"/>
                <w:lang w:val="en-US" w:eastAsia="en-GB"/>
              </w:rPr>
              <w:t>)</w:t>
            </w:r>
          </w:p>
          <w:p w:rsidR="00D000FA" w:rsidRPr="00D16865" w:rsidRDefault="00914EDB" w:rsidP="009A3E78">
            <w:pPr>
              <w:autoSpaceDE w:val="0"/>
              <w:autoSpaceDN w:val="0"/>
              <w:adjustRightInd w:val="0"/>
              <w:rPr>
                <w:rFonts w:cs="AdvTT3713a231"/>
                <w:color w:val="131413"/>
                <w:lang w:val="en-US"/>
              </w:rPr>
            </w:pPr>
            <w:r w:rsidRPr="00D16865">
              <w:rPr>
                <w:rFonts w:cs="AdvTT3713a231"/>
                <w:color w:val="131413"/>
                <w:lang w:val="en-US"/>
              </w:rPr>
              <w:t>PALZ: s</w:t>
            </w:r>
            <w:r w:rsidR="00D000FA" w:rsidRPr="00D16865">
              <w:rPr>
                <w:rFonts w:cs="AdvTT3713a231"/>
                <w:color w:val="131413"/>
                <w:lang w:val="en-US"/>
              </w:rPr>
              <w:t>ensitivity=</w:t>
            </w:r>
            <w:r w:rsidR="006C5884" w:rsidRPr="00D16865">
              <w:rPr>
                <w:rFonts w:cs="AdvTT3713a231"/>
                <w:color w:val="131413"/>
                <w:lang w:val="en-US"/>
              </w:rPr>
              <w:t>33</w:t>
            </w:r>
            <w:r w:rsidR="00D000FA" w:rsidRPr="00D16865">
              <w:rPr>
                <w:rFonts w:cs="AdvTT3713a231"/>
                <w:color w:val="131413"/>
                <w:lang w:val="en-US"/>
              </w:rPr>
              <w:t>%; specificity=</w:t>
            </w:r>
            <w:r w:rsidR="006C5884" w:rsidRPr="00D16865">
              <w:rPr>
                <w:rFonts w:cs="AdvTT3713a231"/>
                <w:color w:val="131413"/>
                <w:lang w:val="en-US"/>
              </w:rPr>
              <w:t>67</w:t>
            </w:r>
            <w:r w:rsidR="00D000FA" w:rsidRPr="00D16865">
              <w:rPr>
                <w:rFonts w:cs="AdvTT3713a231"/>
                <w:color w:val="131413"/>
                <w:lang w:val="en-US"/>
              </w:rPr>
              <w:t>%</w:t>
            </w:r>
          </w:p>
          <w:p w:rsidR="00D000FA" w:rsidRPr="00D16865" w:rsidRDefault="00D000FA" w:rsidP="009A3E78">
            <w:pPr>
              <w:autoSpaceDE w:val="0"/>
              <w:autoSpaceDN w:val="0"/>
              <w:adjustRightInd w:val="0"/>
              <w:rPr>
                <w:rFonts w:cs="Arial"/>
                <w:lang w:val="en-US"/>
              </w:rPr>
            </w:pPr>
            <w:r w:rsidRPr="00D16865">
              <w:rPr>
                <w:rFonts w:cs="Arial"/>
                <w:lang w:val="en-US"/>
              </w:rPr>
              <w:t>TP=</w:t>
            </w:r>
            <w:r w:rsidR="00A26CD5" w:rsidRPr="00D16865">
              <w:rPr>
                <w:rFonts w:cs="Arial"/>
                <w:lang w:val="en-US"/>
              </w:rPr>
              <w:t>8</w:t>
            </w:r>
            <w:r w:rsidRPr="00D16865">
              <w:rPr>
                <w:rFonts w:cs="Arial"/>
                <w:lang w:val="en-US"/>
              </w:rPr>
              <w:t>; FP=</w:t>
            </w:r>
            <w:r w:rsidR="00A26CD5" w:rsidRPr="00D16865">
              <w:rPr>
                <w:rFonts w:cs="Arial"/>
                <w:lang w:val="en-US"/>
              </w:rPr>
              <w:t>11</w:t>
            </w:r>
            <w:r w:rsidRPr="00D16865">
              <w:rPr>
                <w:rFonts w:cs="Arial"/>
                <w:lang w:val="en-US"/>
              </w:rPr>
              <w:t>; FN=</w:t>
            </w:r>
            <w:r w:rsidR="00A26CD5" w:rsidRPr="00D16865">
              <w:rPr>
                <w:rFonts w:cs="Arial"/>
                <w:lang w:val="en-US"/>
              </w:rPr>
              <w:t>16</w:t>
            </w:r>
            <w:r w:rsidRPr="00D16865">
              <w:rPr>
                <w:rFonts w:cs="Arial"/>
                <w:lang w:val="en-US"/>
              </w:rPr>
              <w:t>; TN=</w:t>
            </w:r>
            <w:r w:rsidR="00A26CD5" w:rsidRPr="00D16865">
              <w:rPr>
                <w:rFonts w:cs="Arial"/>
                <w:lang w:val="en-US"/>
              </w:rPr>
              <w:t>22; PPV=42%; NPV=58%</w:t>
            </w:r>
            <w:r w:rsidRPr="00D16865">
              <w:rPr>
                <w:rFonts w:cs="Arial"/>
                <w:lang w:val="en-US"/>
              </w:rPr>
              <w:t xml:space="preserve"> (Calculated in Revman5)</w:t>
            </w:r>
          </w:p>
          <w:p w:rsidR="00914EDB" w:rsidRPr="00D16865" w:rsidRDefault="00914EDB" w:rsidP="00914EDB">
            <w:pPr>
              <w:autoSpaceDE w:val="0"/>
              <w:autoSpaceDN w:val="0"/>
              <w:adjustRightInd w:val="0"/>
              <w:rPr>
                <w:rFonts w:cs="AdvTT3713a231"/>
                <w:color w:val="131413"/>
                <w:lang w:val="en-US"/>
              </w:rPr>
            </w:pPr>
            <w:r w:rsidRPr="00D16865">
              <w:rPr>
                <w:rFonts w:cs="AdvTT3713a231"/>
                <w:color w:val="131413"/>
                <w:lang w:val="en-US"/>
              </w:rPr>
              <w:lastRenderedPageBreak/>
              <w:t>HCI: sensitivity=</w:t>
            </w:r>
            <w:r w:rsidR="006C5884" w:rsidRPr="00D16865">
              <w:rPr>
                <w:rFonts w:cs="AdvTT3713a231"/>
                <w:color w:val="131413"/>
                <w:lang w:val="en-US"/>
              </w:rPr>
              <w:t>63</w:t>
            </w:r>
            <w:r w:rsidRPr="00D16865">
              <w:rPr>
                <w:rFonts w:cs="AdvTT3713a231"/>
                <w:color w:val="131413"/>
                <w:lang w:val="en-US"/>
              </w:rPr>
              <w:t>%; specificity=</w:t>
            </w:r>
            <w:r w:rsidR="006C5884" w:rsidRPr="00D16865">
              <w:rPr>
                <w:rFonts w:cs="AdvTT3713a231"/>
                <w:color w:val="131413"/>
                <w:lang w:val="en-US"/>
              </w:rPr>
              <w:t>61</w:t>
            </w:r>
            <w:r w:rsidRPr="00D16865">
              <w:rPr>
                <w:rFonts w:cs="AdvTT3713a231"/>
                <w:color w:val="131413"/>
                <w:lang w:val="en-US"/>
              </w:rPr>
              <w:t>%</w:t>
            </w:r>
          </w:p>
          <w:p w:rsidR="00914EDB" w:rsidRPr="00D16865" w:rsidRDefault="00914EDB" w:rsidP="00914EDB">
            <w:pPr>
              <w:autoSpaceDE w:val="0"/>
              <w:autoSpaceDN w:val="0"/>
              <w:adjustRightInd w:val="0"/>
              <w:rPr>
                <w:rFonts w:cs="AdvTT3713a231"/>
                <w:color w:val="131413"/>
                <w:lang w:val="en-US"/>
              </w:rPr>
            </w:pPr>
            <w:r w:rsidRPr="00D16865">
              <w:rPr>
                <w:rFonts w:cs="Arial"/>
                <w:lang w:val="en-US"/>
              </w:rPr>
              <w:t>TP=</w:t>
            </w:r>
            <w:r w:rsidR="00A26CD5" w:rsidRPr="00D16865">
              <w:rPr>
                <w:rFonts w:cs="Arial"/>
                <w:lang w:val="en-US"/>
              </w:rPr>
              <w:t>15</w:t>
            </w:r>
            <w:r w:rsidRPr="00D16865">
              <w:rPr>
                <w:rFonts w:cs="Arial"/>
                <w:lang w:val="en-US"/>
              </w:rPr>
              <w:t>; FP=</w:t>
            </w:r>
            <w:r w:rsidR="00A26CD5" w:rsidRPr="00D16865">
              <w:rPr>
                <w:rFonts w:cs="Arial"/>
                <w:lang w:val="en-US"/>
              </w:rPr>
              <w:t>13</w:t>
            </w:r>
            <w:r w:rsidRPr="00D16865">
              <w:rPr>
                <w:rFonts w:cs="Arial"/>
                <w:lang w:val="en-US"/>
              </w:rPr>
              <w:t>; FN=</w:t>
            </w:r>
            <w:r w:rsidR="00A26CD5" w:rsidRPr="00D16865">
              <w:rPr>
                <w:rFonts w:cs="Arial"/>
                <w:lang w:val="en-US"/>
              </w:rPr>
              <w:t>9</w:t>
            </w:r>
            <w:r w:rsidRPr="00D16865">
              <w:rPr>
                <w:rFonts w:cs="Arial"/>
                <w:lang w:val="en-US"/>
              </w:rPr>
              <w:t>; TN=</w:t>
            </w:r>
            <w:r w:rsidR="00A26CD5" w:rsidRPr="00D16865">
              <w:rPr>
                <w:rFonts w:cs="Arial"/>
                <w:lang w:val="en-US"/>
              </w:rPr>
              <w:t>20; PPV=54%; NPV=69%</w:t>
            </w:r>
            <w:r w:rsidRPr="00D16865">
              <w:rPr>
                <w:rFonts w:cs="Arial"/>
                <w:lang w:val="en-US"/>
              </w:rPr>
              <w:t xml:space="preserve"> (Calculated in Revman5)</w:t>
            </w:r>
          </w:p>
          <w:p w:rsidR="00914EDB" w:rsidRPr="00D16865" w:rsidRDefault="00914EDB" w:rsidP="00914EDB">
            <w:pPr>
              <w:autoSpaceDE w:val="0"/>
              <w:autoSpaceDN w:val="0"/>
              <w:adjustRightInd w:val="0"/>
              <w:rPr>
                <w:rFonts w:cs="AdvTT3713a231"/>
                <w:color w:val="131413"/>
                <w:lang w:val="en-US"/>
              </w:rPr>
            </w:pPr>
            <w:proofErr w:type="spellStart"/>
            <w:r w:rsidRPr="00D16865">
              <w:rPr>
                <w:rFonts w:cs="AdvTT3713a231"/>
                <w:color w:val="131413"/>
                <w:lang w:val="en-US"/>
              </w:rPr>
              <w:t>MetaROI</w:t>
            </w:r>
            <w:proofErr w:type="spellEnd"/>
            <w:r w:rsidRPr="00D16865">
              <w:rPr>
                <w:rFonts w:cs="AdvTT3713a231"/>
                <w:color w:val="131413"/>
                <w:lang w:val="en-US"/>
              </w:rPr>
              <w:t>: sensitivity=</w:t>
            </w:r>
            <w:r w:rsidR="006C5884" w:rsidRPr="00D16865">
              <w:rPr>
                <w:rFonts w:cs="AdvTT3713a231"/>
                <w:color w:val="131413"/>
                <w:lang w:val="en-US"/>
              </w:rPr>
              <w:t>46</w:t>
            </w:r>
            <w:r w:rsidRPr="00D16865">
              <w:rPr>
                <w:rFonts w:cs="AdvTT3713a231"/>
                <w:color w:val="131413"/>
                <w:lang w:val="en-US"/>
              </w:rPr>
              <w:t>%; specificity=</w:t>
            </w:r>
            <w:r w:rsidR="006C5884" w:rsidRPr="00D16865">
              <w:rPr>
                <w:rFonts w:cs="AdvTT3713a231"/>
                <w:color w:val="131413"/>
                <w:lang w:val="en-US"/>
              </w:rPr>
              <w:t>58</w:t>
            </w:r>
            <w:r w:rsidRPr="00D16865">
              <w:rPr>
                <w:rFonts w:cs="AdvTT3713a231"/>
                <w:color w:val="131413"/>
                <w:lang w:val="en-US"/>
              </w:rPr>
              <w:t>%</w:t>
            </w:r>
          </w:p>
          <w:p w:rsidR="00914EDB" w:rsidRPr="00D16865" w:rsidRDefault="00914EDB" w:rsidP="00914EDB">
            <w:pPr>
              <w:autoSpaceDE w:val="0"/>
              <w:autoSpaceDN w:val="0"/>
              <w:adjustRightInd w:val="0"/>
              <w:rPr>
                <w:rFonts w:cs="AdvTT3713a231"/>
                <w:color w:val="131413"/>
                <w:lang w:val="en-US"/>
              </w:rPr>
            </w:pPr>
            <w:r w:rsidRPr="00D16865">
              <w:rPr>
                <w:rFonts w:cs="Arial"/>
                <w:lang w:val="en-US"/>
              </w:rPr>
              <w:t>TP=</w:t>
            </w:r>
            <w:r w:rsidR="00A26CD5" w:rsidRPr="00D16865">
              <w:rPr>
                <w:rFonts w:cs="Arial"/>
                <w:lang w:val="en-US"/>
              </w:rPr>
              <w:t>11</w:t>
            </w:r>
            <w:r w:rsidRPr="00D16865">
              <w:rPr>
                <w:rFonts w:cs="Arial"/>
                <w:lang w:val="en-US"/>
              </w:rPr>
              <w:t>; FP=</w:t>
            </w:r>
            <w:r w:rsidR="00A26CD5" w:rsidRPr="00D16865">
              <w:rPr>
                <w:rFonts w:cs="Arial"/>
                <w:lang w:val="en-US"/>
              </w:rPr>
              <w:t>14</w:t>
            </w:r>
            <w:r w:rsidRPr="00D16865">
              <w:rPr>
                <w:rFonts w:cs="Arial"/>
                <w:lang w:val="en-US"/>
              </w:rPr>
              <w:t>; FN=</w:t>
            </w:r>
            <w:r w:rsidR="00A26CD5" w:rsidRPr="00D16865">
              <w:rPr>
                <w:rFonts w:cs="Arial"/>
                <w:lang w:val="en-US"/>
              </w:rPr>
              <w:t>13</w:t>
            </w:r>
            <w:r w:rsidRPr="00D16865">
              <w:rPr>
                <w:rFonts w:cs="Arial"/>
                <w:lang w:val="en-US"/>
              </w:rPr>
              <w:t>; TN=</w:t>
            </w:r>
            <w:r w:rsidR="00A26CD5" w:rsidRPr="00D16865">
              <w:rPr>
                <w:rFonts w:cs="Arial"/>
                <w:lang w:val="en-US"/>
              </w:rPr>
              <w:t>19; PPV=44%; NPV=60%</w:t>
            </w:r>
            <w:r w:rsidRPr="00D16865">
              <w:rPr>
                <w:rFonts w:cs="Arial"/>
                <w:lang w:val="en-US"/>
              </w:rPr>
              <w:t xml:space="preserve"> (Calculated in Revman5)</w:t>
            </w:r>
          </w:p>
          <w:p w:rsidR="00914EDB" w:rsidRPr="00D16865" w:rsidRDefault="00914EDB" w:rsidP="009A3E78">
            <w:pPr>
              <w:autoSpaceDE w:val="0"/>
              <w:autoSpaceDN w:val="0"/>
              <w:adjustRightInd w:val="0"/>
              <w:rPr>
                <w:rFonts w:cs="AdvTT3713a231"/>
                <w:color w:val="131413"/>
                <w:lang w:val="en-US"/>
              </w:rPr>
            </w:pPr>
          </w:p>
          <w:p w:rsidR="00914EDB" w:rsidRPr="00D16865" w:rsidRDefault="00914EDB" w:rsidP="009A3E78">
            <w:pPr>
              <w:autoSpaceDE w:val="0"/>
              <w:autoSpaceDN w:val="0"/>
              <w:adjustRightInd w:val="0"/>
              <w:rPr>
                <w:rFonts w:cs="AdvTT3713a231"/>
                <w:color w:val="131413"/>
                <w:lang w:val="en-US"/>
              </w:rPr>
            </w:pPr>
            <w:r w:rsidRPr="00D16865">
              <w:rPr>
                <w:rFonts w:cs="AdvTT3713a231"/>
                <w:b/>
                <w:color w:val="131413"/>
                <w:lang w:val="en-US"/>
              </w:rPr>
              <w:t>TOMC cohort</w:t>
            </w:r>
            <w:r w:rsidR="00A26CD5" w:rsidRPr="00D16865">
              <w:rPr>
                <w:rFonts w:cs="AdvTT3713a231"/>
                <w:color w:val="131413"/>
                <w:lang w:val="en-US"/>
              </w:rPr>
              <w:t xml:space="preserve"> </w:t>
            </w:r>
            <w:r w:rsidR="00A26CD5" w:rsidRPr="00D16865">
              <w:rPr>
                <w:rFonts w:eastAsia="Times New Roman" w:cs="Arial"/>
                <w:lang w:val="en-US" w:eastAsia="en-GB"/>
              </w:rPr>
              <w:t>(Table 3, p17)</w:t>
            </w:r>
          </w:p>
          <w:p w:rsidR="006C5884" w:rsidRPr="00D16865" w:rsidRDefault="006C5884" w:rsidP="006C5884">
            <w:pPr>
              <w:autoSpaceDE w:val="0"/>
              <w:autoSpaceDN w:val="0"/>
              <w:adjustRightInd w:val="0"/>
              <w:rPr>
                <w:rFonts w:eastAsia="Times New Roman" w:cs="Arial"/>
                <w:u w:val="single"/>
                <w:lang w:val="en-US" w:eastAsia="en-GB"/>
              </w:rPr>
            </w:pPr>
            <w:r w:rsidRPr="00D16865">
              <w:rPr>
                <w:rFonts w:eastAsia="Times New Roman" w:cs="Arial"/>
                <w:u w:val="single"/>
                <w:lang w:val="en-US" w:eastAsia="en-GB"/>
              </w:rPr>
              <w:t>Number included in analysis (N=36)</w:t>
            </w:r>
          </w:p>
          <w:p w:rsidR="006C5884" w:rsidRPr="00D16865" w:rsidRDefault="006C5884" w:rsidP="006C5884">
            <w:pPr>
              <w:autoSpaceDE w:val="0"/>
              <w:autoSpaceDN w:val="0"/>
              <w:adjustRightInd w:val="0"/>
              <w:rPr>
                <w:rFonts w:cs="AdvTT3713a231"/>
                <w:color w:val="131413"/>
                <w:lang w:val="en-US"/>
              </w:rPr>
            </w:pPr>
            <w:r w:rsidRPr="00D16865">
              <w:rPr>
                <w:rFonts w:eastAsia="Times New Roman" w:cs="Arial"/>
                <w:lang w:val="en-US" w:eastAsia="en-GB"/>
              </w:rPr>
              <w:t>At follow-up:18 MCI-AD (disease positive); 18 MCI-MCI (disease negative)</w:t>
            </w:r>
          </w:p>
          <w:p w:rsidR="006C5884" w:rsidRPr="00D16865" w:rsidRDefault="003F3254" w:rsidP="006C5884">
            <w:pPr>
              <w:autoSpaceDE w:val="0"/>
              <w:autoSpaceDN w:val="0"/>
              <w:adjustRightInd w:val="0"/>
              <w:rPr>
                <w:rFonts w:cs="AdvTT3713a231"/>
                <w:color w:val="131413"/>
                <w:lang w:val="en-US"/>
              </w:rPr>
            </w:pPr>
            <w:r w:rsidRPr="00D16865">
              <w:rPr>
                <w:rFonts w:cs="AdvTT3713a231"/>
                <w:color w:val="131413"/>
                <w:lang w:val="en-US"/>
              </w:rPr>
              <w:t xml:space="preserve">PALZ: </w:t>
            </w:r>
            <w:r w:rsidR="006C5884" w:rsidRPr="00D16865">
              <w:rPr>
                <w:rFonts w:cs="AdvTT3713a231"/>
                <w:color w:val="131413"/>
                <w:lang w:val="en-US"/>
              </w:rPr>
              <w:t>sensitivity=</w:t>
            </w:r>
            <w:r w:rsidRPr="00D16865">
              <w:rPr>
                <w:rFonts w:cs="AdvTT3713a231"/>
                <w:color w:val="131413"/>
                <w:lang w:val="en-US"/>
              </w:rPr>
              <w:t>78</w:t>
            </w:r>
            <w:r w:rsidR="006C5884" w:rsidRPr="00D16865">
              <w:rPr>
                <w:rFonts w:cs="AdvTT3713a231"/>
                <w:color w:val="131413"/>
                <w:lang w:val="en-US"/>
              </w:rPr>
              <w:t>%; specificity=72%</w:t>
            </w:r>
          </w:p>
          <w:p w:rsidR="006C5884" w:rsidRPr="00D16865" w:rsidRDefault="006C5884" w:rsidP="006C5884">
            <w:pPr>
              <w:autoSpaceDE w:val="0"/>
              <w:autoSpaceDN w:val="0"/>
              <w:adjustRightInd w:val="0"/>
              <w:rPr>
                <w:rFonts w:cs="Arial"/>
                <w:lang w:val="en-US"/>
              </w:rPr>
            </w:pPr>
            <w:r w:rsidRPr="00D16865">
              <w:rPr>
                <w:rFonts w:cs="Arial"/>
                <w:lang w:val="en-US"/>
              </w:rPr>
              <w:t>TP=</w:t>
            </w:r>
            <w:r w:rsidR="00A26CD5" w:rsidRPr="00D16865">
              <w:rPr>
                <w:rFonts w:cs="Arial"/>
                <w:lang w:val="en-US"/>
              </w:rPr>
              <w:t>14</w:t>
            </w:r>
            <w:r w:rsidRPr="00D16865">
              <w:rPr>
                <w:rFonts w:cs="Arial"/>
                <w:lang w:val="en-US"/>
              </w:rPr>
              <w:t>; FP=</w:t>
            </w:r>
            <w:r w:rsidR="00A26CD5" w:rsidRPr="00D16865">
              <w:rPr>
                <w:rFonts w:cs="Arial"/>
                <w:lang w:val="en-US"/>
              </w:rPr>
              <w:t>5</w:t>
            </w:r>
            <w:r w:rsidRPr="00D16865">
              <w:rPr>
                <w:rFonts w:cs="Arial"/>
                <w:lang w:val="en-US"/>
              </w:rPr>
              <w:t>; FN=</w:t>
            </w:r>
            <w:r w:rsidR="00A26CD5" w:rsidRPr="00D16865">
              <w:rPr>
                <w:rFonts w:cs="Arial"/>
                <w:lang w:val="en-US"/>
              </w:rPr>
              <w:t>4</w:t>
            </w:r>
            <w:r w:rsidRPr="00D16865">
              <w:rPr>
                <w:rFonts w:cs="Arial"/>
                <w:lang w:val="en-US"/>
              </w:rPr>
              <w:t>; TN=</w:t>
            </w:r>
            <w:r w:rsidR="00A26CD5" w:rsidRPr="00D16865">
              <w:rPr>
                <w:rFonts w:cs="Arial"/>
                <w:lang w:val="en-US"/>
              </w:rPr>
              <w:t>13; PPV=73%; NPV=77%</w:t>
            </w:r>
            <w:r w:rsidRPr="00D16865">
              <w:rPr>
                <w:rFonts w:cs="Arial"/>
                <w:lang w:val="en-US"/>
              </w:rPr>
              <w:t xml:space="preserve"> (Calculated in Revman5)</w:t>
            </w:r>
          </w:p>
          <w:p w:rsidR="006C5884" w:rsidRPr="00D16865" w:rsidRDefault="006C5884" w:rsidP="006C5884">
            <w:pPr>
              <w:autoSpaceDE w:val="0"/>
              <w:autoSpaceDN w:val="0"/>
              <w:adjustRightInd w:val="0"/>
              <w:rPr>
                <w:rFonts w:cs="AdvTT3713a231"/>
                <w:color w:val="131413"/>
                <w:lang w:val="en-US"/>
              </w:rPr>
            </w:pPr>
            <w:r w:rsidRPr="00D16865">
              <w:rPr>
                <w:rFonts w:cs="AdvTT3713a231"/>
                <w:color w:val="131413"/>
                <w:lang w:val="en-US"/>
              </w:rPr>
              <w:t>HCI: sensitivity=</w:t>
            </w:r>
            <w:r w:rsidR="00400FED" w:rsidRPr="00D16865">
              <w:rPr>
                <w:rFonts w:cs="AdvTT3713a231"/>
                <w:color w:val="131413"/>
                <w:lang w:val="en-US"/>
              </w:rPr>
              <w:t>72%; specificity=56</w:t>
            </w:r>
            <w:r w:rsidRPr="00D16865">
              <w:rPr>
                <w:rFonts w:cs="AdvTT3713a231"/>
                <w:color w:val="131413"/>
                <w:lang w:val="en-US"/>
              </w:rPr>
              <w:t>%</w:t>
            </w:r>
          </w:p>
          <w:p w:rsidR="006C5884" w:rsidRPr="00D16865" w:rsidRDefault="006C5884" w:rsidP="006C5884">
            <w:pPr>
              <w:autoSpaceDE w:val="0"/>
              <w:autoSpaceDN w:val="0"/>
              <w:adjustRightInd w:val="0"/>
              <w:rPr>
                <w:rFonts w:cs="AdvTT3713a231"/>
                <w:color w:val="131413"/>
                <w:lang w:val="en-US"/>
              </w:rPr>
            </w:pPr>
            <w:r w:rsidRPr="00D16865">
              <w:rPr>
                <w:rFonts w:cs="Arial"/>
                <w:lang w:val="en-US"/>
              </w:rPr>
              <w:t>TP=</w:t>
            </w:r>
            <w:r w:rsidR="00A26CD5" w:rsidRPr="00D16865">
              <w:rPr>
                <w:rFonts w:cs="Arial"/>
                <w:lang w:val="en-US"/>
              </w:rPr>
              <w:t>13</w:t>
            </w:r>
            <w:r w:rsidRPr="00D16865">
              <w:rPr>
                <w:rFonts w:cs="Arial"/>
                <w:lang w:val="en-US"/>
              </w:rPr>
              <w:t>; FP=</w:t>
            </w:r>
            <w:r w:rsidR="00A26CD5" w:rsidRPr="00D16865">
              <w:rPr>
                <w:rFonts w:cs="Arial"/>
                <w:lang w:val="en-US"/>
              </w:rPr>
              <w:t>8</w:t>
            </w:r>
            <w:r w:rsidRPr="00D16865">
              <w:rPr>
                <w:rFonts w:cs="Arial"/>
                <w:lang w:val="en-US"/>
              </w:rPr>
              <w:t>; FN=</w:t>
            </w:r>
            <w:r w:rsidR="00A26CD5" w:rsidRPr="00D16865">
              <w:rPr>
                <w:rFonts w:cs="Arial"/>
                <w:lang w:val="en-US"/>
              </w:rPr>
              <w:t>5</w:t>
            </w:r>
            <w:r w:rsidRPr="00D16865">
              <w:rPr>
                <w:rFonts w:cs="Arial"/>
                <w:lang w:val="en-US"/>
              </w:rPr>
              <w:t>; TN=</w:t>
            </w:r>
            <w:r w:rsidR="00A26CD5" w:rsidRPr="00D16865">
              <w:rPr>
                <w:rFonts w:cs="Arial"/>
                <w:lang w:val="en-US"/>
              </w:rPr>
              <w:t>10; PPV=61%; NPV=66%</w:t>
            </w:r>
            <w:r w:rsidRPr="00D16865">
              <w:rPr>
                <w:rFonts w:cs="Arial"/>
                <w:lang w:val="en-US"/>
              </w:rPr>
              <w:t xml:space="preserve"> (Calculated in Revman5)</w:t>
            </w:r>
          </w:p>
          <w:p w:rsidR="006C5884" w:rsidRPr="00D16865" w:rsidRDefault="006C5884" w:rsidP="006C5884">
            <w:pPr>
              <w:autoSpaceDE w:val="0"/>
              <w:autoSpaceDN w:val="0"/>
              <w:adjustRightInd w:val="0"/>
              <w:rPr>
                <w:rFonts w:cs="AdvTT3713a231"/>
                <w:color w:val="131413"/>
                <w:lang w:val="en-US"/>
              </w:rPr>
            </w:pPr>
            <w:proofErr w:type="spellStart"/>
            <w:r w:rsidRPr="00D16865">
              <w:rPr>
                <w:rFonts w:cs="AdvTT3713a231"/>
                <w:color w:val="131413"/>
                <w:lang w:val="en-US"/>
              </w:rPr>
              <w:t>MetaROI</w:t>
            </w:r>
            <w:proofErr w:type="spellEnd"/>
            <w:r w:rsidRPr="00D16865">
              <w:rPr>
                <w:rFonts w:cs="AdvTT3713a231"/>
                <w:color w:val="131413"/>
                <w:lang w:val="en-US"/>
              </w:rPr>
              <w:t>: sensitivity=56%; specificity=83%</w:t>
            </w:r>
          </w:p>
          <w:p w:rsidR="00894B84" w:rsidRPr="00D16865" w:rsidRDefault="006C5884" w:rsidP="006C5884">
            <w:pPr>
              <w:autoSpaceDE w:val="0"/>
              <w:autoSpaceDN w:val="0"/>
              <w:adjustRightInd w:val="0"/>
              <w:rPr>
                <w:rFonts w:cs="Arial"/>
                <w:lang w:val="en-US"/>
              </w:rPr>
            </w:pPr>
            <w:r w:rsidRPr="00D16865">
              <w:rPr>
                <w:rFonts w:cs="Arial"/>
                <w:lang w:val="en-US"/>
              </w:rPr>
              <w:t>TP=</w:t>
            </w:r>
            <w:r w:rsidR="00A26CD5" w:rsidRPr="00D16865">
              <w:rPr>
                <w:rFonts w:cs="Arial"/>
                <w:lang w:val="en-US"/>
              </w:rPr>
              <w:t>10</w:t>
            </w:r>
            <w:r w:rsidRPr="00D16865">
              <w:rPr>
                <w:rFonts w:cs="Arial"/>
                <w:lang w:val="en-US"/>
              </w:rPr>
              <w:t>; FP=</w:t>
            </w:r>
            <w:r w:rsidR="00A26CD5" w:rsidRPr="00D16865">
              <w:rPr>
                <w:rFonts w:cs="Arial"/>
                <w:lang w:val="en-US"/>
              </w:rPr>
              <w:t>3</w:t>
            </w:r>
            <w:r w:rsidRPr="00D16865">
              <w:rPr>
                <w:rFonts w:cs="Arial"/>
                <w:lang w:val="en-US"/>
              </w:rPr>
              <w:t>; FN=</w:t>
            </w:r>
            <w:r w:rsidR="00A26CD5" w:rsidRPr="00D16865">
              <w:rPr>
                <w:rFonts w:cs="Arial"/>
                <w:lang w:val="en-US"/>
              </w:rPr>
              <w:t>8</w:t>
            </w:r>
            <w:r w:rsidRPr="00D16865">
              <w:rPr>
                <w:rFonts w:cs="Arial"/>
                <w:lang w:val="en-US"/>
              </w:rPr>
              <w:t>; TN=</w:t>
            </w:r>
            <w:r w:rsidR="00A26CD5" w:rsidRPr="00D16865">
              <w:rPr>
                <w:rFonts w:cs="Arial"/>
                <w:lang w:val="en-US"/>
              </w:rPr>
              <w:t>15; PPV=77%; NPV=65%</w:t>
            </w:r>
            <w:r w:rsidRPr="00D16865">
              <w:rPr>
                <w:rFonts w:cs="Arial"/>
                <w:lang w:val="en-US"/>
              </w:rPr>
              <w:t xml:space="preserve"> (Calculated in Revman5)</w:t>
            </w:r>
          </w:p>
        </w:tc>
      </w:tr>
      <w:tr w:rsidR="00DA4731" w:rsidRPr="00D16865" w:rsidTr="0031616E">
        <w:tc>
          <w:tcPr>
            <w:tcW w:w="13948" w:type="dxa"/>
            <w:gridSpan w:val="2"/>
          </w:tcPr>
          <w:p w:rsidR="00DA4731" w:rsidRPr="00D16865" w:rsidRDefault="00DA4731">
            <w:pPr>
              <w:rPr>
                <w:b/>
                <w:lang w:val="en-US"/>
              </w:rPr>
            </w:pPr>
            <w:r w:rsidRPr="00D16865">
              <w:rPr>
                <w:b/>
                <w:lang w:val="en-US"/>
              </w:rPr>
              <w:lastRenderedPageBreak/>
              <w:t>Note</w:t>
            </w:r>
            <w:r w:rsidR="00284F24" w:rsidRPr="00D16865">
              <w:rPr>
                <w:b/>
                <w:lang w:val="en-US"/>
              </w:rPr>
              <w:t>s</w:t>
            </w:r>
          </w:p>
          <w:p w:rsidR="00740731" w:rsidRPr="00D16865" w:rsidRDefault="00740731">
            <w:pPr>
              <w:rPr>
                <w:lang w:val="en-US"/>
              </w:rPr>
            </w:pPr>
            <w:r w:rsidRPr="00D16865">
              <w:rPr>
                <w:lang w:val="en-US"/>
              </w:rPr>
              <w:t>The authors contacted and confirmed that the same patients were include</w:t>
            </w:r>
            <w:r w:rsidR="00432F3C" w:rsidRPr="00D16865">
              <w:rPr>
                <w:lang w:val="en-US"/>
              </w:rPr>
              <w:t>d</w:t>
            </w:r>
            <w:r w:rsidRPr="00D16865">
              <w:rPr>
                <w:lang w:val="en-US"/>
              </w:rPr>
              <w:t xml:space="preserve"> in both papers, Prestia 2013 and Prestia 2015</w:t>
            </w:r>
            <w:r w:rsidR="00426548" w:rsidRPr="00D16865">
              <w:rPr>
                <w:lang w:val="en-US"/>
              </w:rPr>
              <w:t>a</w:t>
            </w:r>
            <w:r w:rsidRPr="00D16865">
              <w:rPr>
                <w:lang w:val="en-US"/>
              </w:rPr>
              <w:t>.</w:t>
            </w:r>
          </w:p>
          <w:p w:rsidR="000E3D6A" w:rsidRPr="00D16865" w:rsidRDefault="002F02FC">
            <w:pPr>
              <w:rPr>
                <w:lang w:val="en-US"/>
              </w:rPr>
            </w:pPr>
            <w:r w:rsidRPr="00D16865">
              <w:rPr>
                <w:lang w:val="en-US"/>
              </w:rPr>
              <w:t>F</w:t>
            </w:r>
            <w:r w:rsidR="000E3D6A" w:rsidRPr="00D16865">
              <w:rPr>
                <w:lang w:val="en-US"/>
              </w:rPr>
              <w:t xml:space="preserve">or this systematic review we only considered the accuracy of </w:t>
            </w:r>
            <w:r w:rsidR="000E3D6A" w:rsidRPr="00D16865">
              <w:rPr>
                <w:vertAlign w:val="superscript"/>
                <w:lang w:val="en-US"/>
              </w:rPr>
              <w:t>18</w:t>
            </w:r>
            <w:r w:rsidR="000E3D6A" w:rsidRPr="00D16865">
              <w:rPr>
                <w:lang w:val="en-US"/>
              </w:rPr>
              <w:t>F-FDG PET biomarkers for progression from MCI to AD dementia.</w:t>
            </w:r>
          </w:p>
          <w:p w:rsidR="002F02FC" w:rsidRPr="00D16865" w:rsidRDefault="002F02FC" w:rsidP="00400FED">
            <w:pPr>
              <w:autoSpaceDE w:val="0"/>
              <w:autoSpaceDN w:val="0"/>
              <w:adjustRightInd w:val="0"/>
              <w:rPr>
                <w:b/>
                <w:lang w:val="en-US"/>
              </w:rPr>
            </w:pPr>
            <w:r w:rsidRPr="00D16865">
              <w:rPr>
                <w:b/>
                <w:lang w:val="en-US"/>
              </w:rPr>
              <w:t>Results</w:t>
            </w:r>
          </w:p>
          <w:p w:rsidR="002F02FC" w:rsidRPr="00D16865" w:rsidRDefault="002F02FC" w:rsidP="002F02FC">
            <w:pPr>
              <w:rPr>
                <w:lang w:val="en-US"/>
              </w:rPr>
            </w:pPr>
            <w:r w:rsidRPr="00D16865">
              <w:rPr>
                <w:lang w:val="en-US"/>
              </w:rPr>
              <w:t xml:space="preserve">The preliminary findings provide further evidence to the revised NIA-AA criteria for AD and suggest that Abeta42 concentrations and </w:t>
            </w:r>
            <w:r w:rsidR="004C661D" w:rsidRPr="00D16865">
              <w:rPr>
                <w:lang w:val="en-US"/>
              </w:rPr>
              <w:t>hippocampal</w:t>
            </w:r>
            <w:r w:rsidRPr="00D16865">
              <w:rPr>
                <w:lang w:val="en-US"/>
              </w:rPr>
              <w:t xml:space="preserve"> volumes may be used in combination to best identify prodromal AD.</w:t>
            </w:r>
          </w:p>
          <w:p w:rsidR="000E3D6A" w:rsidRPr="00D16865" w:rsidRDefault="00B66618" w:rsidP="00400FED">
            <w:pPr>
              <w:autoSpaceDE w:val="0"/>
              <w:autoSpaceDN w:val="0"/>
              <w:adjustRightInd w:val="0"/>
              <w:rPr>
                <w:lang w:val="en-US"/>
              </w:rPr>
            </w:pPr>
            <w:r w:rsidRPr="00D16865">
              <w:rPr>
                <w:lang w:val="en-US"/>
              </w:rPr>
              <w:t xml:space="preserve">Despite variable between datasets, the three metrics of hypometabolism showed intermediate sensitivity and specificity patterns. These results are in line with recent studies finding that parietotemporal and posterior cingulate hypometabolism on </w:t>
            </w:r>
            <w:r w:rsidR="0065775A" w:rsidRPr="00D16865">
              <w:rPr>
                <w:rFonts w:cs="Arial"/>
                <w:vertAlign w:val="superscript"/>
                <w:lang w:val="en-US"/>
              </w:rPr>
              <w:t>18</w:t>
            </w:r>
            <w:r w:rsidR="0065775A" w:rsidRPr="00D16865">
              <w:rPr>
                <w:rFonts w:cs="Arial"/>
                <w:lang w:val="en-US"/>
              </w:rPr>
              <w:t xml:space="preserve">F-FDG PET </w:t>
            </w:r>
            <w:r w:rsidRPr="00D16865">
              <w:rPr>
                <w:lang w:val="en-US"/>
              </w:rPr>
              <w:t>is less</w:t>
            </w:r>
            <w:r w:rsidR="00DB152E" w:rsidRPr="00D16865">
              <w:rPr>
                <w:lang w:val="en-US"/>
              </w:rPr>
              <w:t xml:space="preserve"> </w:t>
            </w:r>
            <w:r w:rsidRPr="00D16865">
              <w:rPr>
                <w:lang w:val="en-US"/>
              </w:rPr>
              <w:t xml:space="preserve">sensitive than CSF Aβ42 at milder AD stages, and FDG-PET closely follows MRI biomarkers performance </w:t>
            </w:r>
            <w:r w:rsidR="00400FED" w:rsidRPr="00D16865">
              <w:rPr>
                <w:lang w:val="en-US"/>
              </w:rPr>
              <w:t>in predicting clinical changes.</w:t>
            </w:r>
          </w:p>
          <w:p w:rsidR="002F02FC" w:rsidRPr="00D16865" w:rsidRDefault="005D0045" w:rsidP="002F02FC">
            <w:pPr>
              <w:rPr>
                <w:lang w:val="en-US"/>
              </w:rPr>
            </w:pPr>
            <w:r w:rsidRPr="00D16865">
              <w:rPr>
                <w:b/>
                <w:lang w:val="en-US"/>
              </w:rPr>
              <w:t xml:space="preserve">Objective: </w:t>
            </w:r>
            <w:r w:rsidR="002F02FC" w:rsidRPr="00D16865">
              <w:rPr>
                <w:lang w:val="en-US"/>
              </w:rPr>
              <w:t>to compare the sensitivity and specificity of individual AD biomarkers to predict progression from MCI to AD dementia in two different cohorts.</w:t>
            </w:r>
          </w:p>
          <w:p w:rsidR="00996B7B" w:rsidRPr="00D16865" w:rsidRDefault="00996B7B" w:rsidP="00400FED">
            <w:pPr>
              <w:autoSpaceDE w:val="0"/>
              <w:autoSpaceDN w:val="0"/>
              <w:adjustRightInd w:val="0"/>
              <w:rPr>
                <w:lang w:val="en-US"/>
              </w:rPr>
            </w:pPr>
            <w:r w:rsidRPr="00D16865">
              <w:rPr>
                <w:b/>
                <w:lang w:val="en-US"/>
              </w:rPr>
              <w:t>Conclusion</w:t>
            </w:r>
          </w:p>
          <w:p w:rsidR="00996B7B" w:rsidRPr="00D16865" w:rsidRDefault="00996B7B" w:rsidP="00400FED">
            <w:pPr>
              <w:autoSpaceDE w:val="0"/>
              <w:autoSpaceDN w:val="0"/>
              <w:adjustRightInd w:val="0"/>
              <w:rPr>
                <w:lang w:val="en-US"/>
              </w:rPr>
            </w:pPr>
            <w:r w:rsidRPr="00D16865">
              <w:rPr>
                <w:lang w:val="en-US"/>
              </w:rPr>
              <w:t xml:space="preserve">“Current findings suggest that </w:t>
            </w:r>
            <w:r w:rsidR="007F3F21" w:rsidRPr="00D16865">
              <w:rPr>
                <w:lang w:val="en-US"/>
              </w:rPr>
              <w:t>CSF Abeta</w:t>
            </w:r>
            <w:r w:rsidR="007F3F21" w:rsidRPr="00D16865">
              <w:rPr>
                <w:vertAlign w:val="subscript"/>
                <w:lang w:val="en-US"/>
              </w:rPr>
              <w:t>42</w:t>
            </w:r>
            <w:r w:rsidR="007F3F21" w:rsidRPr="00D16865">
              <w:rPr>
                <w:lang w:val="en-US"/>
              </w:rPr>
              <w:t xml:space="preserve"> concentrations and hippocampal volumes may be used in combination to best identify prodromal AD.”</w:t>
            </w:r>
          </w:p>
        </w:tc>
      </w:tr>
      <w:tr w:rsidR="007B1794" w:rsidRPr="00D16865" w:rsidTr="0031616E">
        <w:tc>
          <w:tcPr>
            <w:tcW w:w="13948" w:type="dxa"/>
            <w:gridSpan w:val="2"/>
          </w:tcPr>
          <w:p w:rsidR="007B1794" w:rsidRPr="00D16865" w:rsidRDefault="007B1794">
            <w:pPr>
              <w:rPr>
                <w:b/>
                <w:lang w:val="en-US"/>
              </w:rPr>
            </w:pPr>
          </w:p>
        </w:tc>
      </w:tr>
      <w:tr w:rsidR="007B1794" w:rsidRPr="00D16865" w:rsidTr="0031616E">
        <w:tc>
          <w:tcPr>
            <w:tcW w:w="13948" w:type="dxa"/>
            <w:gridSpan w:val="2"/>
          </w:tcPr>
          <w:p w:rsidR="007B1794" w:rsidRPr="00D16865" w:rsidRDefault="007B1794" w:rsidP="00734180">
            <w:pPr>
              <w:rPr>
                <w:b/>
                <w:lang w:val="en-US"/>
              </w:rPr>
            </w:pPr>
            <w:proofErr w:type="spellStart"/>
            <w:r w:rsidRPr="00D16865">
              <w:rPr>
                <w:b/>
                <w:lang w:val="en-US"/>
              </w:rPr>
              <w:t>Schmand</w:t>
            </w:r>
            <w:proofErr w:type="spellEnd"/>
            <w:r w:rsidRPr="00D16865">
              <w:rPr>
                <w:b/>
                <w:lang w:val="en-US"/>
              </w:rPr>
              <w:t xml:space="preserve"> 2012 </w:t>
            </w:r>
          </w:p>
        </w:tc>
      </w:tr>
      <w:tr w:rsidR="006B0115" w:rsidRPr="00D16865" w:rsidTr="0031616E">
        <w:tc>
          <w:tcPr>
            <w:tcW w:w="2771" w:type="dxa"/>
          </w:tcPr>
          <w:p w:rsidR="006B0115" w:rsidRPr="00D16865" w:rsidRDefault="006B0115" w:rsidP="006B0115">
            <w:pPr>
              <w:contextualSpacing/>
              <w:rPr>
                <w:b/>
                <w:lang w:val="en-US"/>
              </w:rPr>
            </w:pPr>
            <w:r w:rsidRPr="00D16865">
              <w:rPr>
                <w:b/>
                <w:lang w:val="en-US"/>
              </w:rPr>
              <w:t>Patient sampling</w:t>
            </w:r>
          </w:p>
        </w:tc>
        <w:tc>
          <w:tcPr>
            <w:tcW w:w="11177" w:type="dxa"/>
          </w:tcPr>
          <w:p w:rsidR="00400FED" w:rsidRPr="00D16865" w:rsidRDefault="00400FED" w:rsidP="00734180">
            <w:pPr>
              <w:spacing w:after="120"/>
              <w:contextualSpacing/>
              <w:rPr>
                <w:rFonts w:eastAsia="Times New Roman" w:cs="Arial"/>
                <w:lang w:val="en-US" w:eastAsia="en-GB"/>
              </w:rPr>
            </w:pPr>
            <w:r w:rsidRPr="00D16865">
              <w:rPr>
                <w:rFonts w:eastAsia="Times New Roman" w:cs="Arial"/>
                <w:u w:val="single"/>
                <w:lang w:val="en-US" w:eastAsia="en-GB"/>
              </w:rPr>
              <w:t>Study design</w:t>
            </w:r>
            <w:r w:rsidRPr="00D16865">
              <w:rPr>
                <w:rFonts w:eastAsia="Times New Roman" w:cs="Arial"/>
                <w:lang w:val="en-US" w:eastAsia="en-GB"/>
              </w:rPr>
              <w:t xml:space="preserve">: </w:t>
            </w:r>
            <w:r w:rsidR="00557B9D" w:rsidRPr="00D16865">
              <w:rPr>
                <w:lang w:val="en-US"/>
              </w:rPr>
              <w:t>retrospective analysis of longitudinal data from ADNI database</w:t>
            </w:r>
          </w:p>
          <w:p w:rsidR="00DB62CD" w:rsidRPr="00D16865" w:rsidRDefault="00734180" w:rsidP="00734180">
            <w:pPr>
              <w:spacing w:after="120"/>
              <w:contextualSpacing/>
              <w:rPr>
                <w:rFonts w:eastAsia="Times New Roman" w:cs="Arial"/>
                <w:lang w:val="en-US" w:eastAsia="en-GB"/>
              </w:rPr>
            </w:pPr>
            <w:r w:rsidRPr="00D16865">
              <w:rPr>
                <w:rFonts w:eastAsia="Times New Roman" w:cs="Arial"/>
                <w:lang w:val="en-US" w:eastAsia="en-GB"/>
              </w:rPr>
              <w:t xml:space="preserve">175 MCI participants’ data, available for all measures of interest, were </w:t>
            </w:r>
            <w:r w:rsidR="00DB62CD" w:rsidRPr="00D16865">
              <w:rPr>
                <w:rFonts w:eastAsia="Times New Roman" w:cs="Arial"/>
                <w:lang w:val="en-US" w:eastAsia="en-GB"/>
              </w:rPr>
              <w:t>selected</w:t>
            </w:r>
            <w:r w:rsidRPr="00D16865">
              <w:rPr>
                <w:rFonts w:eastAsia="Times New Roman" w:cs="Arial"/>
                <w:lang w:val="en-US" w:eastAsia="en-GB"/>
              </w:rPr>
              <w:t xml:space="preserve"> from </w:t>
            </w:r>
            <w:r w:rsidR="00DB62CD" w:rsidRPr="00D16865">
              <w:rPr>
                <w:rFonts w:eastAsia="Times New Roman" w:cs="Arial"/>
                <w:lang w:val="en-US" w:eastAsia="en-GB"/>
              </w:rPr>
              <w:t xml:space="preserve">the </w:t>
            </w:r>
            <w:r w:rsidRPr="00D16865">
              <w:rPr>
                <w:rFonts w:eastAsia="Times New Roman" w:cs="Arial"/>
                <w:lang w:val="en-US" w:eastAsia="en-GB"/>
              </w:rPr>
              <w:t>ADNI</w:t>
            </w:r>
            <w:r w:rsidR="00DB62CD" w:rsidRPr="00D16865">
              <w:rPr>
                <w:rFonts w:eastAsia="Times New Roman" w:cs="Arial"/>
                <w:lang w:val="en-US" w:eastAsia="en-GB"/>
              </w:rPr>
              <w:t xml:space="preserve">. </w:t>
            </w:r>
          </w:p>
          <w:p w:rsidR="006B0115" w:rsidRPr="00D16865" w:rsidRDefault="00734180" w:rsidP="00DB62CD">
            <w:pPr>
              <w:spacing w:after="120"/>
              <w:contextualSpacing/>
              <w:rPr>
                <w:rFonts w:eastAsia="Times New Roman" w:cs="Arial"/>
                <w:lang w:val="en-US" w:eastAsia="en-GB"/>
              </w:rPr>
            </w:pPr>
            <w:r w:rsidRPr="00D16865">
              <w:rPr>
                <w:rFonts w:eastAsia="Times New Roman" w:cs="Arial"/>
                <w:u w:val="single"/>
                <w:lang w:val="en-US" w:eastAsia="en-GB"/>
              </w:rPr>
              <w:t>Exclusion criteria:</w:t>
            </w:r>
            <w:r w:rsidRPr="00D16865">
              <w:rPr>
                <w:rFonts w:eastAsia="Times New Roman" w:cs="Arial"/>
                <w:lang w:val="en-US" w:eastAsia="en-GB"/>
              </w:rPr>
              <w:t xml:space="preserve"> people who used antidepressant medications with anti-cholinergic </w:t>
            </w:r>
            <w:r w:rsidR="00DB62CD" w:rsidRPr="00D16865">
              <w:rPr>
                <w:rFonts w:eastAsia="Times New Roman" w:cs="Arial"/>
                <w:lang w:val="en-US" w:eastAsia="en-GB"/>
              </w:rPr>
              <w:t>properties</w:t>
            </w:r>
            <w:r w:rsidRPr="00D16865">
              <w:rPr>
                <w:rFonts w:eastAsia="Times New Roman" w:cs="Arial"/>
                <w:lang w:val="en-US" w:eastAsia="en-GB"/>
              </w:rPr>
              <w:t xml:space="preserve"> or those who used drugs with narcotic properties were excluded, but use of </w:t>
            </w:r>
            <w:r w:rsidR="004C661D" w:rsidRPr="00D16865">
              <w:rPr>
                <w:rFonts w:eastAsia="Times New Roman" w:cs="Arial"/>
                <w:lang w:val="en-US" w:eastAsia="en-GB"/>
              </w:rPr>
              <w:t>estrogens</w:t>
            </w:r>
            <w:r w:rsidRPr="00D16865">
              <w:rPr>
                <w:rFonts w:eastAsia="Times New Roman" w:cs="Arial"/>
                <w:lang w:val="en-US" w:eastAsia="en-GB"/>
              </w:rPr>
              <w:t xml:space="preserve">, cholinesterase inhibitors, or vitamin E was allowed if the </w:t>
            </w:r>
            <w:r w:rsidRPr="00D16865">
              <w:rPr>
                <w:rFonts w:eastAsia="Times New Roman" w:cs="Arial"/>
                <w:lang w:val="en-US" w:eastAsia="en-GB"/>
              </w:rPr>
              <w:lastRenderedPageBreak/>
              <w:t>d</w:t>
            </w:r>
            <w:r w:rsidR="00DB62CD" w:rsidRPr="00D16865">
              <w:rPr>
                <w:rFonts w:eastAsia="Times New Roman" w:cs="Arial"/>
                <w:lang w:val="en-US" w:eastAsia="en-GB"/>
              </w:rPr>
              <w:t>ose remained stable.</w:t>
            </w:r>
          </w:p>
        </w:tc>
      </w:tr>
      <w:tr w:rsidR="006B0115" w:rsidRPr="00D16865" w:rsidTr="0031616E">
        <w:tc>
          <w:tcPr>
            <w:tcW w:w="2771" w:type="dxa"/>
          </w:tcPr>
          <w:p w:rsidR="006B0115" w:rsidRPr="00D16865" w:rsidRDefault="006B0115" w:rsidP="006B0115">
            <w:pPr>
              <w:contextualSpacing/>
              <w:rPr>
                <w:b/>
                <w:lang w:val="en-US"/>
              </w:rPr>
            </w:pPr>
            <w:r w:rsidRPr="00D16865">
              <w:rPr>
                <w:b/>
                <w:lang w:val="en-US"/>
              </w:rPr>
              <w:lastRenderedPageBreak/>
              <w:t>Patient characteristics and settings</w:t>
            </w:r>
          </w:p>
        </w:tc>
        <w:tc>
          <w:tcPr>
            <w:tcW w:w="11177" w:type="dxa"/>
          </w:tcPr>
          <w:p w:rsidR="00734180" w:rsidRPr="00D16865" w:rsidRDefault="00734180" w:rsidP="00734180">
            <w:pPr>
              <w:pStyle w:val="NormalWeb"/>
              <w:contextualSpacing/>
              <w:rPr>
                <w:rFonts w:asciiTheme="minorHAnsi" w:hAnsiTheme="minorHAnsi" w:cs="Arial"/>
                <w:sz w:val="22"/>
                <w:szCs w:val="22"/>
                <w:lang w:val="en-US"/>
              </w:rPr>
            </w:pPr>
            <w:r w:rsidRPr="00D16865">
              <w:rPr>
                <w:rFonts w:asciiTheme="minorHAnsi" w:hAnsiTheme="minorHAnsi" w:cs="Arial"/>
                <w:sz w:val="22"/>
                <w:szCs w:val="22"/>
                <w:lang w:val="en-US"/>
              </w:rPr>
              <w:t xml:space="preserve">89 MCI ADNI participants diagnosed by the </w:t>
            </w:r>
            <w:r w:rsidRPr="004C661D">
              <w:rPr>
                <w:rStyle w:val="Hyperlink"/>
                <w:rFonts w:asciiTheme="minorHAnsi" w:hAnsiTheme="minorHAnsi" w:cs="Arial"/>
                <w:color w:val="000000" w:themeColor="text1"/>
                <w:sz w:val="22"/>
                <w:szCs w:val="22"/>
                <w:u w:val="none"/>
                <w:lang w:val="en-US"/>
              </w:rPr>
              <w:t>Petersen 2010</w:t>
            </w:r>
            <w:r w:rsidRPr="004C661D">
              <w:rPr>
                <w:rFonts w:asciiTheme="minorHAnsi" w:hAnsiTheme="minorHAnsi" w:cs="Arial"/>
                <w:color w:val="000000" w:themeColor="text1"/>
                <w:sz w:val="22"/>
                <w:szCs w:val="22"/>
                <w:lang w:val="en-US"/>
              </w:rPr>
              <w:t xml:space="preserve"> </w:t>
            </w:r>
            <w:r w:rsidRPr="00D16865">
              <w:rPr>
                <w:rFonts w:asciiTheme="minorHAnsi" w:hAnsiTheme="minorHAnsi" w:cs="Arial"/>
                <w:sz w:val="22"/>
                <w:szCs w:val="22"/>
                <w:lang w:val="en-US"/>
              </w:rPr>
              <w:t>criteria who had a ¹</w:t>
            </w:r>
            <w:r w:rsidRPr="00D16865">
              <w:rPr>
                <w:rFonts w:asciiTheme="minorHAnsi" w:hAnsiTheme="minorHAnsi" w:cs="Cambria Math"/>
                <w:sz w:val="22"/>
                <w:szCs w:val="22"/>
                <w:lang w:val="en-US"/>
              </w:rPr>
              <w:t>⁸</w:t>
            </w:r>
            <w:r w:rsidRPr="00D16865">
              <w:rPr>
                <w:rFonts w:asciiTheme="minorHAnsi" w:hAnsiTheme="minorHAnsi" w:cs="Arial"/>
                <w:sz w:val="22"/>
                <w:szCs w:val="22"/>
                <w:lang w:val="en-US"/>
              </w:rPr>
              <w:t>F-FDG scan at baseline</w:t>
            </w:r>
            <w:r w:rsidR="00DB62CD" w:rsidRPr="00D16865">
              <w:rPr>
                <w:rFonts w:asciiTheme="minorHAnsi" w:hAnsiTheme="minorHAnsi" w:cs="Arial"/>
                <w:sz w:val="22"/>
                <w:szCs w:val="22"/>
                <w:lang w:val="en-US"/>
              </w:rPr>
              <w:t xml:space="preserve"> were included in the study</w:t>
            </w:r>
            <w:r w:rsidRPr="00D16865">
              <w:rPr>
                <w:rFonts w:asciiTheme="minorHAnsi" w:hAnsiTheme="minorHAnsi" w:cs="Arial"/>
                <w:sz w:val="22"/>
                <w:szCs w:val="22"/>
                <w:lang w:val="en-US"/>
              </w:rPr>
              <w:t>. Demographic data reported on total sample (175 MCI).</w:t>
            </w:r>
          </w:p>
          <w:p w:rsidR="00734180" w:rsidRPr="00D16865" w:rsidRDefault="00734180" w:rsidP="00734180">
            <w:pPr>
              <w:pStyle w:val="NormalWeb"/>
              <w:contextualSpacing/>
              <w:rPr>
                <w:rFonts w:asciiTheme="minorHAnsi" w:hAnsiTheme="minorHAnsi" w:cs="Arial"/>
                <w:sz w:val="22"/>
                <w:szCs w:val="22"/>
                <w:lang w:val="en-US"/>
              </w:rPr>
            </w:pPr>
            <w:r w:rsidRPr="00D16865">
              <w:rPr>
                <w:rFonts w:asciiTheme="minorHAnsi" w:hAnsiTheme="minorHAnsi" w:cs="Arial"/>
                <w:sz w:val="22"/>
                <w:szCs w:val="22"/>
                <w:u w:val="single"/>
                <w:lang w:val="en-US"/>
              </w:rPr>
              <w:t>Gender</w:t>
            </w:r>
            <w:r w:rsidRPr="00D16865">
              <w:rPr>
                <w:rFonts w:asciiTheme="minorHAnsi" w:hAnsiTheme="minorHAnsi" w:cs="Arial"/>
                <w:sz w:val="22"/>
                <w:szCs w:val="22"/>
                <w:lang w:val="en-US"/>
              </w:rPr>
              <w:t>: converters: 31 women, 50 men; non-converters: 30 women, 64 men</w:t>
            </w:r>
          </w:p>
          <w:p w:rsidR="00734180" w:rsidRPr="00D16865" w:rsidRDefault="00734180" w:rsidP="00734180">
            <w:pPr>
              <w:pStyle w:val="NormalWeb"/>
              <w:contextualSpacing/>
              <w:rPr>
                <w:rFonts w:asciiTheme="minorHAnsi" w:hAnsiTheme="minorHAnsi" w:cs="Arial"/>
                <w:sz w:val="22"/>
                <w:szCs w:val="22"/>
                <w:lang w:val="en-US"/>
              </w:rPr>
            </w:pPr>
            <w:r w:rsidRPr="00D16865">
              <w:rPr>
                <w:rFonts w:asciiTheme="minorHAnsi" w:hAnsiTheme="minorHAnsi" w:cs="Arial"/>
                <w:sz w:val="22"/>
                <w:szCs w:val="22"/>
                <w:u w:val="single"/>
                <w:lang w:val="en-US"/>
              </w:rPr>
              <w:t>Age</w:t>
            </w:r>
            <w:r w:rsidR="001C7711" w:rsidRPr="00D16865">
              <w:rPr>
                <w:rFonts w:asciiTheme="minorHAnsi" w:hAnsiTheme="minorHAnsi" w:cs="Arial"/>
                <w:sz w:val="22"/>
                <w:szCs w:val="22"/>
                <w:u w:val="single"/>
                <w:lang w:val="en-US"/>
              </w:rPr>
              <w:t xml:space="preserve"> (y)</w:t>
            </w:r>
            <w:r w:rsidRPr="00D16865">
              <w:rPr>
                <w:rFonts w:asciiTheme="minorHAnsi" w:hAnsiTheme="minorHAnsi" w:cs="Arial"/>
                <w:sz w:val="22"/>
                <w:szCs w:val="22"/>
                <w:lang w:val="en-US"/>
              </w:rPr>
              <w:t>: converters: 74.4 ± 7.4; non-converters: 74.1 ± 7.6</w:t>
            </w:r>
          </w:p>
          <w:p w:rsidR="00734180" w:rsidRPr="00D16865" w:rsidRDefault="00734180" w:rsidP="00734180">
            <w:pPr>
              <w:pStyle w:val="NormalWeb"/>
              <w:contextualSpacing/>
              <w:rPr>
                <w:rFonts w:asciiTheme="minorHAnsi" w:hAnsiTheme="minorHAnsi" w:cs="Arial"/>
                <w:sz w:val="22"/>
                <w:szCs w:val="22"/>
                <w:lang w:val="en-US"/>
              </w:rPr>
            </w:pPr>
            <w:r w:rsidRPr="00D16865">
              <w:rPr>
                <w:rFonts w:asciiTheme="minorHAnsi" w:hAnsiTheme="minorHAnsi" w:cs="Arial"/>
                <w:sz w:val="22"/>
                <w:szCs w:val="22"/>
                <w:u w:val="single"/>
                <w:lang w:val="en-US"/>
              </w:rPr>
              <w:t>APOE</w:t>
            </w:r>
            <w:r w:rsidR="00D16865">
              <w:rPr>
                <w:rFonts w:asciiTheme="minorHAnsi" w:hAnsiTheme="minorHAnsi" w:cs="Arial"/>
                <w:sz w:val="22"/>
                <w:szCs w:val="22"/>
                <w:u w:val="single"/>
                <w:lang w:val="en-US"/>
              </w:rPr>
              <w:t xml:space="preserve"> </w:t>
            </w:r>
            <w:r w:rsidRPr="00D16865">
              <w:rPr>
                <w:rFonts w:asciiTheme="minorHAnsi" w:hAnsiTheme="minorHAnsi" w:cs="Arial"/>
                <w:sz w:val="22"/>
                <w:szCs w:val="22"/>
                <w:u w:val="single"/>
                <w:lang w:val="en-US"/>
              </w:rPr>
              <w:t>ɛ4:</w:t>
            </w:r>
            <w:r w:rsidRPr="00D16865">
              <w:rPr>
                <w:rFonts w:asciiTheme="minorHAnsi" w:hAnsiTheme="minorHAnsi" w:cs="Arial"/>
                <w:sz w:val="22"/>
                <w:szCs w:val="22"/>
                <w:lang w:val="en-US"/>
              </w:rPr>
              <w:t xml:space="preserve"> not reported</w:t>
            </w:r>
          </w:p>
          <w:p w:rsidR="00734180" w:rsidRPr="00D16865" w:rsidRDefault="00734180" w:rsidP="00734180">
            <w:pPr>
              <w:pStyle w:val="NormalWeb"/>
              <w:contextualSpacing/>
              <w:rPr>
                <w:rFonts w:asciiTheme="minorHAnsi" w:hAnsiTheme="minorHAnsi" w:cs="Arial"/>
                <w:sz w:val="22"/>
                <w:szCs w:val="22"/>
                <w:lang w:val="en-US"/>
              </w:rPr>
            </w:pPr>
            <w:r w:rsidRPr="00D16865">
              <w:rPr>
                <w:rFonts w:asciiTheme="minorHAnsi" w:hAnsiTheme="minorHAnsi" w:cs="Arial"/>
                <w:sz w:val="22"/>
                <w:szCs w:val="22"/>
                <w:u w:val="single"/>
                <w:lang w:val="en-US"/>
              </w:rPr>
              <w:t>MMSE</w:t>
            </w:r>
            <w:r w:rsidRPr="00D16865">
              <w:rPr>
                <w:rFonts w:asciiTheme="minorHAnsi" w:hAnsiTheme="minorHAnsi" w:cs="Arial"/>
                <w:sz w:val="22"/>
                <w:szCs w:val="22"/>
                <w:lang w:val="en-US"/>
              </w:rPr>
              <w:t>: converters: 26.6 ± 1.8; non-converters: 27.2 ± 1.7</w:t>
            </w:r>
          </w:p>
          <w:p w:rsidR="00734180" w:rsidRPr="00D16865" w:rsidRDefault="00734180" w:rsidP="00734180">
            <w:pPr>
              <w:pStyle w:val="NormalWeb"/>
              <w:contextualSpacing/>
              <w:rPr>
                <w:rFonts w:asciiTheme="minorHAnsi" w:hAnsiTheme="minorHAnsi" w:cs="Arial"/>
                <w:sz w:val="22"/>
                <w:szCs w:val="22"/>
                <w:lang w:val="en-US"/>
              </w:rPr>
            </w:pPr>
            <w:r w:rsidRPr="00D16865">
              <w:rPr>
                <w:rFonts w:asciiTheme="minorHAnsi" w:hAnsiTheme="minorHAnsi" w:cs="Arial"/>
                <w:sz w:val="22"/>
                <w:szCs w:val="22"/>
                <w:u w:val="single"/>
                <w:lang w:val="en-US"/>
              </w:rPr>
              <w:t>Education</w:t>
            </w:r>
            <w:r w:rsidR="001C7711" w:rsidRPr="00D16865">
              <w:rPr>
                <w:rFonts w:asciiTheme="minorHAnsi" w:hAnsiTheme="minorHAnsi" w:cs="Arial"/>
                <w:sz w:val="22"/>
                <w:szCs w:val="22"/>
                <w:u w:val="single"/>
                <w:lang w:val="en-US"/>
              </w:rPr>
              <w:t xml:space="preserve"> (y)</w:t>
            </w:r>
            <w:r w:rsidRPr="00D16865">
              <w:rPr>
                <w:rFonts w:asciiTheme="minorHAnsi" w:hAnsiTheme="minorHAnsi" w:cs="Arial"/>
                <w:sz w:val="22"/>
                <w:szCs w:val="22"/>
                <w:u w:val="single"/>
                <w:lang w:val="en-US"/>
              </w:rPr>
              <w:t>:</w:t>
            </w:r>
            <w:r w:rsidRPr="00D16865">
              <w:rPr>
                <w:rFonts w:asciiTheme="minorHAnsi" w:hAnsiTheme="minorHAnsi" w:cs="Arial"/>
                <w:sz w:val="22"/>
                <w:szCs w:val="22"/>
                <w:lang w:val="en-US"/>
              </w:rPr>
              <w:t xml:space="preserve"> converters: 15.6 ± 3.0; non-converters: 15.8 ± 3.9</w:t>
            </w:r>
          </w:p>
          <w:p w:rsidR="00734180" w:rsidRPr="00D16865" w:rsidRDefault="00734180" w:rsidP="00734180">
            <w:pPr>
              <w:pStyle w:val="NormalWeb"/>
              <w:contextualSpacing/>
              <w:rPr>
                <w:rFonts w:asciiTheme="minorHAnsi" w:hAnsiTheme="minorHAnsi" w:cs="Arial"/>
                <w:sz w:val="22"/>
                <w:szCs w:val="22"/>
                <w:lang w:val="en-US"/>
              </w:rPr>
            </w:pPr>
            <w:r w:rsidRPr="00D16865">
              <w:rPr>
                <w:rFonts w:asciiTheme="minorHAnsi" w:hAnsiTheme="minorHAnsi" w:cs="Arial"/>
                <w:sz w:val="22"/>
                <w:szCs w:val="22"/>
                <w:u w:val="single"/>
                <w:lang w:val="en-US"/>
              </w:rPr>
              <w:t>Sources of referral:</w:t>
            </w:r>
            <w:r w:rsidRPr="00D16865">
              <w:rPr>
                <w:rFonts w:asciiTheme="minorHAnsi" w:hAnsiTheme="minorHAnsi" w:cs="Arial"/>
                <w:sz w:val="22"/>
                <w:szCs w:val="22"/>
                <w:lang w:val="en-US"/>
              </w:rPr>
              <w:t xml:space="preserve"> not reported</w:t>
            </w:r>
          </w:p>
          <w:p w:rsidR="006B0115" w:rsidRPr="00D16865" w:rsidRDefault="00734180" w:rsidP="00DB62CD">
            <w:pPr>
              <w:pStyle w:val="NormalWeb"/>
              <w:contextualSpacing/>
              <w:rPr>
                <w:rFonts w:asciiTheme="minorHAnsi" w:hAnsiTheme="minorHAnsi" w:cs="Arial"/>
                <w:sz w:val="22"/>
                <w:szCs w:val="22"/>
                <w:lang w:val="en-US"/>
              </w:rPr>
            </w:pPr>
            <w:r w:rsidRPr="00D16865">
              <w:rPr>
                <w:rFonts w:asciiTheme="minorHAnsi" w:hAnsiTheme="minorHAnsi" w:cs="Arial"/>
                <w:sz w:val="22"/>
                <w:szCs w:val="22"/>
                <w:u w:val="single"/>
                <w:lang w:val="en-US"/>
              </w:rPr>
              <w:t>Sources of recruitment:</w:t>
            </w:r>
            <w:r w:rsidR="00DB62CD" w:rsidRPr="00D16865">
              <w:rPr>
                <w:rFonts w:asciiTheme="minorHAnsi" w:hAnsiTheme="minorHAnsi" w:cs="Arial"/>
                <w:sz w:val="22"/>
                <w:szCs w:val="22"/>
                <w:lang w:val="en-US"/>
              </w:rPr>
              <w:t xml:space="preserve"> multicenter</w:t>
            </w:r>
          </w:p>
        </w:tc>
      </w:tr>
      <w:tr w:rsidR="006B0115" w:rsidRPr="00D16865" w:rsidTr="0031616E">
        <w:tc>
          <w:tcPr>
            <w:tcW w:w="2771" w:type="dxa"/>
          </w:tcPr>
          <w:p w:rsidR="006B0115" w:rsidRPr="00D16865" w:rsidRDefault="006B0115" w:rsidP="006B0115">
            <w:pPr>
              <w:contextualSpacing/>
              <w:rPr>
                <w:b/>
                <w:lang w:val="en-US"/>
              </w:rPr>
            </w:pPr>
            <w:r w:rsidRPr="00D16865">
              <w:rPr>
                <w:b/>
                <w:lang w:val="en-US"/>
              </w:rPr>
              <w:t>Index test</w:t>
            </w:r>
          </w:p>
        </w:tc>
        <w:tc>
          <w:tcPr>
            <w:tcW w:w="11177" w:type="dxa"/>
          </w:tcPr>
          <w:p w:rsidR="00734180" w:rsidRPr="00D16865" w:rsidRDefault="00734180" w:rsidP="00734180">
            <w:pPr>
              <w:pStyle w:val="NormalWeb"/>
              <w:contextualSpacing/>
              <w:rPr>
                <w:rFonts w:asciiTheme="minorHAnsi" w:hAnsiTheme="minorHAnsi" w:cs="Arial"/>
                <w:sz w:val="22"/>
                <w:szCs w:val="22"/>
                <w:lang w:val="en-US"/>
              </w:rPr>
            </w:pPr>
            <w:r w:rsidRPr="00D16865">
              <w:rPr>
                <w:rFonts w:asciiTheme="minorHAnsi" w:hAnsiTheme="minorHAnsi" w:cs="Arial"/>
                <w:sz w:val="22"/>
                <w:szCs w:val="22"/>
                <w:lang w:val="en-US"/>
              </w:rPr>
              <w:t>¹</w:t>
            </w:r>
            <w:r w:rsidRPr="00D16865">
              <w:rPr>
                <w:rFonts w:asciiTheme="minorHAnsi" w:hAnsiTheme="minorHAnsi" w:cs="Cambria Math"/>
                <w:sz w:val="22"/>
                <w:szCs w:val="22"/>
                <w:lang w:val="en-US"/>
              </w:rPr>
              <w:t>⁸</w:t>
            </w:r>
            <w:r w:rsidRPr="00D16865">
              <w:rPr>
                <w:rFonts w:asciiTheme="minorHAnsi" w:hAnsiTheme="minorHAnsi" w:cs="Arial"/>
                <w:sz w:val="22"/>
                <w:szCs w:val="22"/>
                <w:lang w:val="en-US"/>
              </w:rPr>
              <w:t>F-FDG PET scan</w:t>
            </w:r>
          </w:p>
          <w:p w:rsidR="009B3C69" w:rsidRPr="00D16865" w:rsidRDefault="00DB62CD" w:rsidP="009B3C69">
            <w:pPr>
              <w:pStyle w:val="NormalWeb"/>
              <w:contextualSpacing/>
              <w:rPr>
                <w:rFonts w:asciiTheme="minorHAnsi" w:hAnsiTheme="minorHAnsi" w:cs="Arial"/>
                <w:i/>
                <w:sz w:val="22"/>
                <w:szCs w:val="22"/>
                <w:u w:val="single"/>
                <w:lang w:val="en-US"/>
              </w:rPr>
            </w:pPr>
            <w:r w:rsidRPr="00D16865">
              <w:rPr>
                <w:rFonts w:asciiTheme="minorHAnsi" w:hAnsiTheme="minorHAnsi" w:cs="Arial"/>
                <w:i/>
                <w:sz w:val="22"/>
                <w:szCs w:val="22"/>
                <w:u w:val="single"/>
                <w:lang w:val="en-US"/>
              </w:rPr>
              <w:t>Acquisition</w:t>
            </w:r>
          </w:p>
          <w:p w:rsidR="00DB62CD" w:rsidRPr="00D16865" w:rsidRDefault="00DB62CD" w:rsidP="009B3C69">
            <w:pPr>
              <w:pStyle w:val="NormalWeb"/>
              <w:contextualSpacing/>
              <w:rPr>
                <w:rFonts w:asciiTheme="minorHAnsi" w:hAnsiTheme="minorHAnsi" w:cs="Arial"/>
                <w:sz w:val="22"/>
                <w:szCs w:val="22"/>
                <w:lang w:val="en-US"/>
              </w:rPr>
            </w:pPr>
            <w:r w:rsidRPr="00D16865">
              <w:rPr>
                <w:rFonts w:asciiTheme="minorHAnsi" w:hAnsiTheme="minorHAnsi" w:cs="Arial"/>
                <w:sz w:val="22"/>
                <w:szCs w:val="22"/>
                <w:lang w:val="en-US"/>
              </w:rPr>
              <w:t xml:space="preserve">Not escribed. </w:t>
            </w:r>
            <w:r w:rsidR="009F1533" w:rsidRPr="00D16865">
              <w:rPr>
                <w:rFonts w:asciiTheme="minorHAnsi" w:hAnsiTheme="minorHAnsi" w:cs="Arial"/>
                <w:sz w:val="22"/>
                <w:szCs w:val="22"/>
                <w:vertAlign w:val="superscript"/>
                <w:lang w:val="en-US"/>
              </w:rPr>
              <w:t>18</w:t>
            </w:r>
            <w:r w:rsidR="009F1533" w:rsidRPr="00D16865">
              <w:rPr>
                <w:rFonts w:asciiTheme="minorHAnsi" w:hAnsiTheme="minorHAnsi" w:cs="Arial"/>
                <w:sz w:val="22"/>
                <w:szCs w:val="22"/>
                <w:lang w:val="en-US"/>
              </w:rPr>
              <w:t xml:space="preserve">F-FDG PET </w:t>
            </w:r>
            <w:r w:rsidRPr="00D16865">
              <w:rPr>
                <w:rFonts w:asciiTheme="minorHAnsi" w:hAnsiTheme="minorHAnsi" w:cs="Times-Roman"/>
                <w:sz w:val="22"/>
                <w:szCs w:val="22"/>
                <w:lang w:val="en-US"/>
              </w:rPr>
              <w:t>scan data are provided by ADNI.</w:t>
            </w:r>
          </w:p>
          <w:p w:rsidR="00DB62CD" w:rsidRPr="00D16865" w:rsidRDefault="00DB62CD" w:rsidP="00734180">
            <w:pPr>
              <w:pStyle w:val="NormalWeb"/>
              <w:contextualSpacing/>
              <w:rPr>
                <w:rFonts w:asciiTheme="minorHAnsi" w:hAnsiTheme="minorHAnsi" w:cs="Arial"/>
                <w:i/>
                <w:sz w:val="22"/>
                <w:szCs w:val="22"/>
                <w:u w:val="single"/>
                <w:lang w:val="en-US"/>
              </w:rPr>
            </w:pPr>
            <w:r w:rsidRPr="00D16865">
              <w:rPr>
                <w:rFonts w:asciiTheme="minorHAnsi" w:hAnsiTheme="minorHAnsi" w:cs="Arial"/>
                <w:i/>
                <w:sz w:val="22"/>
                <w:szCs w:val="22"/>
                <w:u w:val="single"/>
                <w:lang w:val="en-US"/>
              </w:rPr>
              <w:t>Data analysis</w:t>
            </w:r>
          </w:p>
          <w:p w:rsidR="00734180" w:rsidRPr="00D16865" w:rsidRDefault="00734180" w:rsidP="00734180">
            <w:pPr>
              <w:pStyle w:val="NormalWeb"/>
              <w:contextualSpacing/>
              <w:rPr>
                <w:rFonts w:asciiTheme="minorHAnsi" w:hAnsiTheme="minorHAnsi" w:cs="Arial"/>
                <w:sz w:val="22"/>
                <w:szCs w:val="22"/>
                <w:lang w:val="en-US"/>
              </w:rPr>
            </w:pPr>
            <w:r w:rsidRPr="00D16865">
              <w:rPr>
                <w:rFonts w:asciiTheme="minorHAnsi" w:hAnsiTheme="minorHAnsi" w:cs="Arial"/>
                <w:sz w:val="22"/>
                <w:szCs w:val="22"/>
                <w:lang w:val="en-US"/>
              </w:rPr>
              <w:t>Using ¹</w:t>
            </w:r>
            <w:r w:rsidRPr="00D16865">
              <w:rPr>
                <w:rFonts w:asciiTheme="minorHAnsi" w:hAnsiTheme="minorHAnsi" w:cs="Cambria Math"/>
                <w:sz w:val="22"/>
                <w:szCs w:val="22"/>
                <w:lang w:val="en-US"/>
              </w:rPr>
              <w:t>⁸</w:t>
            </w:r>
            <w:r w:rsidRPr="00D16865">
              <w:rPr>
                <w:rFonts w:asciiTheme="minorHAnsi" w:hAnsiTheme="minorHAnsi" w:cs="Arial"/>
                <w:sz w:val="22"/>
                <w:szCs w:val="22"/>
                <w:lang w:val="en-US"/>
              </w:rPr>
              <w:t xml:space="preserve">F-FDG acquired, controlled, and </w:t>
            </w:r>
            <w:r w:rsidR="004C661D" w:rsidRPr="00D16865">
              <w:rPr>
                <w:rFonts w:asciiTheme="minorHAnsi" w:hAnsiTheme="minorHAnsi" w:cs="Arial"/>
                <w:sz w:val="22"/>
                <w:szCs w:val="22"/>
                <w:lang w:val="en-US"/>
              </w:rPr>
              <w:t>analyzed</w:t>
            </w:r>
            <w:r w:rsidRPr="00D16865">
              <w:rPr>
                <w:rFonts w:asciiTheme="minorHAnsi" w:hAnsiTheme="minorHAnsi" w:cs="Arial"/>
                <w:sz w:val="22"/>
                <w:szCs w:val="22"/>
                <w:lang w:val="en-US"/>
              </w:rPr>
              <w:t xml:space="preserve"> according to the ADNI protocol, ROI approaches (UC Berkeley) resulted in a set of 5 regions located in right and left angular gyri, bilateral posterior cingulate gyrus, and left middle/inferior temporal gyrus. Because these ROIs were highly correlated (</w:t>
            </w:r>
            <w:proofErr w:type="spellStart"/>
            <w:r w:rsidRPr="004C661D">
              <w:rPr>
                <w:rStyle w:val="Hyperlink"/>
                <w:rFonts w:asciiTheme="minorHAnsi" w:hAnsiTheme="minorHAnsi" w:cs="Arial"/>
                <w:color w:val="000000" w:themeColor="text1"/>
                <w:sz w:val="22"/>
                <w:szCs w:val="22"/>
                <w:u w:val="none"/>
                <w:lang w:val="en-US"/>
              </w:rPr>
              <w:t>Jagust</w:t>
            </w:r>
            <w:proofErr w:type="spellEnd"/>
            <w:r w:rsidRPr="004C661D">
              <w:rPr>
                <w:rStyle w:val="Hyperlink"/>
                <w:rFonts w:asciiTheme="minorHAnsi" w:hAnsiTheme="minorHAnsi" w:cs="Arial"/>
                <w:color w:val="000000" w:themeColor="text1"/>
                <w:sz w:val="22"/>
                <w:szCs w:val="22"/>
                <w:u w:val="none"/>
                <w:lang w:val="en-US"/>
              </w:rPr>
              <w:t xml:space="preserve"> 2010</w:t>
            </w:r>
            <w:r w:rsidRPr="00D16865">
              <w:rPr>
                <w:rFonts w:asciiTheme="minorHAnsi" w:hAnsiTheme="minorHAnsi" w:cs="Arial"/>
                <w:sz w:val="22"/>
                <w:szCs w:val="22"/>
                <w:lang w:val="en-US"/>
              </w:rPr>
              <w:t>), we averaged them across participants. This composite ROI was used in the present analyses.</w:t>
            </w:r>
          </w:p>
          <w:p w:rsidR="006B0115" w:rsidRPr="00D16865" w:rsidRDefault="00734180" w:rsidP="00DB62CD">
            <w:pPr>
              <w:pStyle w:val="NormalWeb"/>
              <w:contextualSpacing/>
              <w:rPr>
                <w:rFonts w:asciiTheme="minorHAnsi" w:hAnsiTheme="minorHAnsi" w:cs="Arial"/>
                <w:sz w:val="22"/>
                <w:szCs w:val="22"/>
                <w:lang w:val="en-US"/>
              </w:rPr>
            </w:pPr>
            <w:r w:rsidRPr="00D16865">
              <w:rPr>
                <w:rFonts w:asciiTheme="minorHAnsi" w:hAnsiTheme="minorHAnsi" w:cs="Arial"/>
                <w:sz w:val="22"/>
                <w:szCs w:val="22"/>
                <w:u w:val="single"/>
                <w:lang w:val="en-US"/>
              </w:rPr>
              <w:t>Threshold:</w:t>
            </w:r>
            <w:r w:rsidRPr="00D16865">
              <w:rPr>
                <w:rFonts w:asciiTheme="minorHAnsi" w:hAnsiTheme="minorHAnsi" w:cs="Arial"/>
                <w:sz w:val="22"/>
                <w:szCs w:val="22"/>
                <w:lang w:val="en-US"/>
              </w:rPr>
              <w:t xml:space="preserve"> was based on the predicted probability of conversion to dementia as obtained from a logistic regression analysis with conversion as dependent variable and the rCGM of the ROI, described in the paper as the predictor. If this predicted probability was &gt; 0.5, the ¹</w:t>
            </w:r>
            <w:r w:rsidRPr="00D16865">
              <w:rPr>
                <w:rFonts w:asciiTheme="minorHAnsi" w:hAnsiTheme="minorHAnsi" w:cs="Cambria Math"/>
                <w:sz w:val="22"/>
                <w:szCs w:val="22"/>
                <w:lang w:val="en-US"/>
              </w:rPr>
              <w:t>⁸</w:t>
            </w:r>
            <w:r w:rsidRPr="00D16865">
              <w:rPr>
                <w:rFonts w:asciiTheme="minorHAnsi" w:hAnsiTheme="minorHAnsi" w:cs="Arial"/>
                <w:sz w:val="22"/>
                <w:szCs w:val="22"/>
                <w:lang w:val="en-US"/>
              </w:rPr>
              <w:t>F-FDG was considered positive. This corresponds to a rCGM value of &lt; 1.20; pre</w:t>
            </w:r>
            <w:r w:rsidR="00DB62CD" w:rsidRPr="00D16865">
              <w:rPr>
                <w:rFonts w:asciiTheme="minorHAnsi" w:hAnsiTheme="minorHAnsi" w:cs="Arial"/>
                <w:sz w:val="22"/>
                <w:szCs w:val="22"/>
                <w:lang w:val="en-US"/>
              </w:rPr>
              <w:t>-</w:t>
            </w:r>
            <w:r w:rsidRPr="00D16865">
              <w:rPr>
                <w:rFonts w:asciiTheme="minorHAnsi" w:hAnsiTheme="minorHAnsi" w:cs="Arial"/>
                <w:sz w:val="22"/>
                <w:szCs w:val="22"/>
                <w:lang w:val="en-US"/>
              </w:rPr>
              <w:t>specified (Dr</w:t>
            </w:r>
            <w:r w:rsidR="004C661D">
              <w:rPr>
                <w:rFonts w:asciiTheme="minorHAnsi" w:hAnsiTheme="minorHAnsi" w:cs="Arial"/>
                <w:sz w:val="22"/>
                <w:szCs w:val="22"/>
                <w:lang w:val="en-US"/>
              </w:rPr>
              <w:t>.</w:t>
            </w:r>
            <w:r w:rsidRPr="00D16865">
              <w:rPr>
                <w:rFonts w:asciiTheme="minorHAnsi" w:hAnsiTheme="minorHAnsi" w:cs="Arial"/>
                <w:sz w:val="22"/>
                <w:szCs w:val="22"/>
                <w:lang w:val="en-US"/>
              </w:rPr>
              <w:t xml:space="preserve"> </w:t>
            </w:r>
            <w:proofErr w:type="spellStart"/>
            <w:r w:rsidRPr="00D16865">
              <w:rPr>
                <w:rFonts w:asciiTheme="minorHAnsi" w:hAnsiTheme="minorHAnsi" w:cs="Arial"/>
                <w:sz w:val="22"/>
                <w:szCs w:val="22"/>
                <w:lang w:val="en-US"/>
              </w:rPr>
              <w:t>Schm</w:t>
            </w:r>
            <w:r w:rsidR="00DB62CD" w:rsidRPr="00D16865">
              <w:rPr>
                <w:rFonts w:asciiTheme="minorHAnsi" w:hAnsiTheme="minorHAnsi" w:cs="Arial"/>
                <w:sz w:val="22"/>
                <w:szCs w:val="22"/>
                <w:lang w:val="en-US"/>
              </w:rPr>
              <w:t>and</w:t>
            </w:r>
            <w:proofErr w:type="spellEnd"/>
            <w:r w:rsidR="00DB62CD" w:rsidRPr="00D16865">
              <w:rPr>
                <w:rFonts w:asciiTheme="minorHAnsi" w:hAnsiTheme="minorHAnsi" w:cs="Arial"/>
                <w:sz w:val="22"/>
                <w:szCs w:val="22"/>
                <w:lang w:val="en-US"/>
              </w:rPr>
              <w:t xml:space="preserve"> email on 13th August 2013).</w:t>
            </w:r>
          </w:p>
        </w:tc>
      </w:tr>
      <w:tr w:rsidR="006B0115" w:rsidRPr="00D16865" w:rsidTr="0031616E">
        <w:tc>
          <w:tcPr>
            <w:tcW w:w="2771" w:type="dxa"/>
          </w:tcPr>
          <w:p w:rsidR="006B0115" w:rsidRPr="00D16865" w:rsidRDefault="006B0115" w:rsidP="006B0115">
            <w:pPr>
              <w:contextualSpacing/>
              <w:rPr>
                <w:b/>
                <w:lang w:val="en-US"/>
              </w:rPr>
            </w:pPr>
            <w:r w:rsidRPr="00D16865">
              <w:rPr>
                <w:b/>
                <w:lang w:val="en-US"/>
              </w:rPr>
              <w:t>Target condition</w:t>
            </w:r>
          </w:p>
        </w:tc>
        <w:tc>
          <w:tcPr>
            <w:tcW w:w="11177" w:type="dxa"/>
          </w:tcPr>
          <w:p w:rsidR="00734180" w:rsidRPr="00D16865" w:rsidRDefault="00734180" w:rsidP="00734180">
            <w:pPr>
              <w:spacing w:after="120"/>
              <w:contextualSpacing/>
              <w:rPr>
                <w:rFonts w:eastAsia="Times New Roman" w:cs="Arial"/>
                <w:lang w:val="en-US" w:eastAsia="en-GB"/>
              </w:rPr>
            </w:pPr>
            <w:r w:rsidRPr="00D16865">
              <w:rPr>
                <w:rFonts w:eastAsia="Times New Roman" w:cs="Arial"/>
                <w:u w:val="single"/>
                <w:lang w:val="en-US" w:eastAsia="en-GB"/>
              </w:rPr>
              <w:t>Target condition</w:t>
            </w:r>
            <w:r w:rsidRPr="00D16865">
              <w:rPr>
                <w:rFonts w:eastAsia="Times New Roman" w:cs="Arial"/>
                <w:lang w:val="en-US" w:eastAsia="en-GB"/>
              </w:rPr>
              <w:t>: conversion from MCI to Alzheimer's disease dementia</w:t>
            </w:r>
          </w:p>
          <w:p w:rsidR="00734180" w:rsidRPr="00D16865" w:rsidRDefault="00734180" w:rsidP="00734180">
            <w:pPr>
              <w:spacing w:after="120"/>
              <w:contextualSpacing/>
              <w:rPr>
                <w:rFonts w:eastAsia="Times New Roman" w:cs="Arial"/>
                <w:lang w:val="en-US" w:eastAsia="en-GB"/>
              </w:rPr>
            </w:pPr>
            <w:r w:rsidRPr="00D16865">
              <w:rPr>
                <w:rFonts w:eastAsia="Times New Roman" w:cs="Arial"/>
                <w:u w:val="single"/>
                <w:lang w:val="en-US" w:eastAsia="en-GB"/>
              </w:rPr>
              <w:t>Reference standard</w:t>
            </w:r>
            <w:r w:rsidRPr="00D16865">
              <w:rPr>
                <w:rFonts w:eastAsia="Times New Roman" w:cs="Arial"/>
                <w:lang w:val="en-US" w:eastAsia="en-GB"/>
              </w:rPr>
              <w:t>: NINCDS/ADRDA criteria of probable ADD (including a MMSE score between 20 and 26, and a CDR score of at least 0.5).</w:t>
            </w:r>
          </w:p>
          <w:p w:rsidR="006B0115" w:rsidRPr="00D16865" w:rsidRDefault="00734180" w:rsidP="00DB62CD">
            <w:pPr>
              <w:spacing w:after="120"/>
              <w:contextualSpacing/>
              <w:rPr>
                <w:rFonts w:eastAsia="Times New Roman" w:cs="Arial"/>
                <w:lang w:val="en-US" w:eastAsia="en-GB"/>
              </w:rPr>
            </w:pPr>
            <w:r w:rsidRPr="00D16865">
              <w:rPr>
                <w:rFonts w:eastAsia="Times New Roman" w:cs="Arial"/>
                <w:lang w:val="en-US" w:eastAsia="en-GB"/>
              </w:rPr>
              <w:t>Unclear whether clinicians conducting follow-up were aware of the ¹</w:t>
            </w:r>
            <w:r w:rsidRPr="00D16865">
              <w:rPr>
                <w:rFonts w:eastAsia="Times New Roman" w:cs="Cambria Math"/>
                <w:lang w:val="en-US" w:eastAsia="en-GB"/>
              </w:rPr>
              <w:t>⁸</w:t>
            </w:r>
            <w:r w:rsidR="00DB62CD" w:rsidRPr="00D16865">
              <w:rPr>
                <w:rFonts w:eastAsia="Times New Roman" w:cs="Arial"/>
                <w:lang w:val="en-US" w:eastAsia="en-GB"/>
              </w:rPr>
              <w:t>F-FDG results.</w:t>
            </w:r>
          </w:p>
        </w:tc>
      </w:tr>
      <w:tr w:rsidR="006B0115" w:rsidRPr="00D16865" w:rsidTr="0031616E">
        <w:tc>
          <w:tcPr>
            <w:tcW w:w="2771" w:type="dxa"/>
          </w:tcPr>
          <w:p w:rsidR="006B0115" w:rsidRPr="00D16865" w:rsidRDefault="006B0115" w:rsidP="006B0115">
            <w:pPr>
              <w:contextualSpacing/>
              <w:rPr>
                <w:b/>
                <w:lang w:val="en-US"/>
              </w:rPr>
            </w:pPr>
            <w:r w:rsidRPr="00D16865">
              <w:rPr>
                <w:b/>
                <w:lang w:val="en-US"/>
              </w:rPr>
              <w:t>Flow and timing</w:t>
            </w:r>
          </w:p>
        </w:tc>
        <w:tc>
          <w:tcPr>
            <w:tcW w:w="11177" w:type="dxa"/>
          </w:tcPr>
          <w:p w:rsidR="00734180" w:rsidRPr="00D16865" w:rsidRDefault="00734180" w:rsidP="00734180">
            <w:pPr>
              <w:spacing w:after="120"/>
              <w:contextualSpacing/>
              <w:rPr>
                <w:rFonts w:eastAsia="Times New Roman" w:cs="Arial"/>
                <w:lang w:val="en-US" w:eastAsia="en-GB"/>
              </w:rPr>
            </w:pPr>
            <w:r w:rsidRPr="00D16865">
              <w:rPr>
                <w:rFonts w:eastAsia="Times New Roman" w:cs="Arial"/>
                <w:u w:val="single"/>
                <w:lang w:val="en-US" w:eastAsia="en-GB"/>
              </w:rPr>
              <w:t>Duration of follow-up:</w:t>
            </w:r>
            <w:r w:rsidRPr="00D16865">
              <w:rPr>
                <w:rFonts w:eastAsia="Times New Roman" w:cs="Arial"/>
                <w:lang w:val="en-US" w:eastAsia="en-GB"/>
              </w:rPr>
              <w:t xml:space="preserve"> mean: 2.7 ± 0.9 years; range: 0.5 - 4.6 years</w:t>
            </w:r>
          </w:p>
          <w:p w:rsidR="00734180" w:rsidRPr="00D16865" w:rsidRDefault="00734180" w:rsidP="00734180">
            <w:pPr>
              <w:spacing w:after="120"/>
              <w:contextualSpacing/>
              <w:rPr>
                <w:rFonts w:eastAsia="Times New Roman" w:cs="Arial"/>
                <w:lang w:val="en-US" w:eastAsia="en-GB"/>
              </w:rPr>
            </w:pPr>
            <w:r w:rsidRPr="00D16865">
              <w:rPr>
                <w:rFonts w:eastAsia="Times New Roman" w:cs="Arial"/>
                <w:u w:val="single"/>
                <w:lang w:val="en-US" w:eastAsia="en-GB"/>
              </w:rPr>
              <w:t>Information from the author:</w:t>
            </w:r>
            <w:r w:rsidRPr="00D16865">
              <w:rPr>
                <w:rFonts w:eastAsia="Times New Roman" w:cs="Arial"/>
                <w:lang w:val="en-US" w:eastAsia="en-GB"/>
              </w:rPr>
              <w:t xml:space="preserve"> </w:t>
            </w:r>
          </w:p>
          <w:p w:rsidR="00734180" w:rsidRPr="00D16865" w:rsidRDefault="00734180" w:rsidP="00734180">
            <w:pPr>
              <w:spacing w:after="120"/>
              <w:contextualSpacing/>
              <w:rPr>
                <w:rFonts w:eastAsia="Times New Roman" w:cs="Arial"/>
                <w:lang w:val="en-US" w:eastAsia="en-GB"/>
              </w:rPr>
            </w:pPr>
            <w:r w:rsidRPr="00D16865">
              <w:rPr>
                <w:rFonts w:eastAsia="Times New Roman" w:cs="Arial"/>
                <w:lang w:val="en-US" w:eastAsia="en-GB"/>
              </w:rPr>
              <w:t>At baseline: 18 participants with ¹</w:t>
            </w:r>
            <w:r w:rsidRPr="00D16865">
              <w:rPr>
                <w:rFonts w:eastAsia="Times New Roman" w:cs="Cambria Math"/>
                <w:lang w:val="en-US" w:eastAsia="en-GB"/>
              </w:rPr>
              <w:t>⁸</w:t>
            </w:r>
            <w:r w:rsidRPr="00D16865">
              <w:rPr>
                <w:rFonts w:eastAsia="Times New Roman" w:cs="Arial"/>
                <w:lang w:val="en-US" w:eastAsia="en-GB"/>
              </w:rPr>
              <w:t>F-FDG test positive tests; 71 participants with ¹</w:t>
            </w:r>
            <w:r w:rsidRPr="00D16865">
              <w:rPr>
                <w:rFonts w:eastAsia="Times New Roman" w:cs="Cambria Math"/>
                <w:lang w:val="en-US" w:eastAsia="en-GB"/>
              </w:rPr>
              <w:t>⁸</w:t>
            </w:r>
            <w:r w:rsidRPr="00D16865">
              <w:rPr>
                <w:rFonts w:eastAsia="Times New Roman" w:cs="Arial"/>
                <w:lang w:val="en-US" w:eastAsia="en-GB"/>
              </w:rPr>
              <w:t>F-FDG negative tests</w:t>
            </w:r>
          </w:p>
          <w:p w:rsidR="00734180" w:rsidRPr="00D16865" w:rsidRDefault="00734180" w:rsidP="00734180">
            <w:pPr>
              <w:spacing w:after="120"/>
              <w:contextualSpacing/>
              <w:rPr>
                <w:rFonts w:eastAsia="Times New Roman" w:cs="Arial"/>
                <w:lang w:val="en-US" w:eastAsia="en-GB"/>
              </w:rPr>
            </w:pPr>
            <w:r w:rsidRPr="00D16865">
              <w:rPr>
                <w:rFonts w:eastAsia="Times New Roman" w:cs="Arial"/>
                <w:lang w:val="en-US" w:eastAsia="en-GB"/>
              </w:rPr>
              <w:t>At follow-up: 18 with abnormal ¹</w:t>
            </w:r>
            <w:r w:rsidRPr="00D16865">
              <w:rPr>
                <w:rFonts w:eastAsia="Times New Roman" w:cs="Cambria Math"/>
                <w:lang w:val="en-US" w:eastAsia="en-GB"/>
              </w:rPr>
              <w:t>⁸</w:t>
            </w:r>
            <w:r w:rsidRPr="00D16865">
              <w:rPr>
                <w:rFonts w:eastAsia="Times New Roman" w:cs="Arial"/>
                <w:lang w:val="en-US" w:eastAsia="en-GB"/>
              </w:rPr>
              <w:t>F-FDG PET scan: 9 MCI-converters (MCI-ADD) and 9 MCI-non-converters (MCI-MCI); 71 with normal ¹</w:t>
            </w:r>
            <w:r w:rsidRPr="00D16865">
              <w:rPr>
                <w:rFonts w:eastAsia="Times New Roman" w:cs="Cambria Math"/>
                <w:lang w:val="en-US" w:eastAsia="en-GB"/>
              </w:rPr>
              <w:t>⁸</w:t>
            </w:r>
            <w:r w:rsidRPr="00D16865">
              <w:rPr>
                <w:rFonts w:eastAsia="Times New Roman" w:cs="Arial"/>
                <w:lang w:val="en-US" w:eastAsia="en-GB"/>
              </w:rPr>
              <w:t>F-FDG PET scan: 29 MCI-converters (MCI-ADD) and 42 MCI-non-converters (MCI-MCI)</w:t>
            </w:r>
          </w:p>
          <w:p w:rsidR="00734180" w:rsidRPr="00D16865" w:rsidRDefault="00734180" w:rsidP="00734180">
            <w:pPr>
              <w:spacing w:after="120"/>
              <w:contextualSpacing/>
              <w:rPr>
                <w:rFonts w:eastAsia="Times New Roman" w:cs="Arial"/>
                <w:lang w:val="en-US" w:eastAsia="en-GB"/>
              </w:rPr>
            </w:pPr>
            <w:r w:rsidRPr="00D16865">
              <w:rPr>
                <w:rFonts w:eastAsia="Times New Roman" w:cs="Arial"/>
                <w:u w:val="single"/>
                <w:lang w:val="en-US" w:eastAsia="en-GB"/>
              </w:rPr>
              <w:t>Number included in analysis:</w:t>
            </w:r>
            <w:r w:rsidRPr="00D16865">
              <w:rPr>
                <w:rFonts w:eastAsia="Times New Roman" w:cs="Arial"/>
                <w:lang w:val="en-US" w:eastAsia="en-GB"/>
              </w:rPr>
              <w:t xml:space="preserve"> </w:t>
            </w:r>
            <w:r w:rsidR="00DB62CD" w:rsidRPr="00D16865">
              <w:rPr>
                <w:rFonts w:eastAsia="Times New Roman" w:cs="Arial"/>
                <w:lang w:val="en-US" w:eastAsia="en-GB"/>
              </w:rPr>
              <w:t>89</w:t>
            </w:r>
          </w:p>
          <w:p w:rsidR="00734180" w:rsidRPr="00D16865" w:rsidRDefault="00734180" w:rsidP="00734180">
            <w:pPr>
              <w:spacing w:after="120"/>
              <w:contextualSpacing/>
              <w:rPr>
                <w:rFonts w:eastAsia="Times New Roman" w:cs="Arial"/>
                <w:lang w:val="en-US" w:eastAsia="en-GB"/>
              </w:rPr>
            </w:pPr>
            <w:r w:rsidRPr="00D16865">
              <w:rPr>
                <w:rFonts w:eastAsia="Times New Roman" w:cs="Arial"/>
                <w:lang w:val="en-US" w:eastAsia="en-GB"/>
              </w:rPr>
              <w:lastRenderedPageBreak/>
              <w:t>TP = 9; FP = 9; FN = 29; TN = 42</w:t>
            </w:r>
          </w:p>
          <w:p w:rsidR="00DB62CD" w:rsidRPr="00D16865" w:rsidRDefault="00DB62CD" w:rsidP="00734180">
            <w:pPr>
              <w:spacing w:after="120"/>
              <w:contextualSpacing/>
              <w:rPr>
                <w:rFonts w:eastAsia="Times New Roman" w:cs="Arial"/>
                <w:lang w:val="en-US" w:eastAsia="en-GB"/>
              </w:rPr>
            </w:pPr>
            <w:r w:rsidRPr="00D16865">
              <w:rPr>
                <w:rFonts w:eastAsia="Times New Roman" w:cs="Arial"/>
                <w:lang w:val="en-US" w:eastAsia="en-GB"/>
              </w:rPr>
              <w:t>Sensitivity=24%; specificity=82%</w:t>
            </w:r>
          </w:p>
          <w:p w:rsidR="006B0115" w:rsidRPr="00D16865" w:rsidRDefault="00734180" w:rsidP="00DB62CD">
            <w:pPr>
              <w:spacing w:after="120"/>
              <w:contextualSpacing/>
              <w:rPr>
                <w:rFonts w:eastAsia="Times New Roman" w:cs="Arial"/>
                <w:lang w:val="en-US" w:eastAsia="en-GB"/>
              </w:rPr>
            </w:pPr>
            <w:r w:rsidRPr="00D16865">
              <w:rPr>
                <w:rFonts w:eastAsia="Times New Roman" w:cs="Arial"/>
                <w:u w:val="single"/>
                <w:lang w:val="en-US" w:eastAsia="en-GB"/>
              </w:rPr>
              <w:t>Loss to follow-up:</w:t>
            </w:r>
            <w:r w:rsidR="00DB62CD" w:rsidRPr="00D16865">
              <w:rPr>
                <w:rFonts w:eastAsia="Times New Roman" w:cs="Arial"/>
                <w:lang w:val="en-US" w:eastAsia="en-GB"/>
              </w:rPr>
              <w:t xml:space="preserve"> none</w:t>
            </w:r>
          </w:p>
        </w:tc>
      </w:tr>
      <w:tr w:rsidR="006B0115" w:rsidRPr="00D16865" w:rsidTr="0031616E">
        <w:tc>
          <w:tcPr>
            <w:tcW w:w="13948" w:type="dxa"/>
            <w:gridSpan w:val="2"/>
          </w:tcPr>
          <w:p w:rsidR="00284F24" w:rsidRPr="00D16865" w:rsidRDefault="00284F24">
            <w:pPr>
              <w:contextualSpacing/>
              <w:rPr>
                <w:b/>
                <w:lang w:val="en-US"/>
              </w:rPr>
            </w:pPr>
            <w:r w:rsidRPr="00D16865">
              <w:rPr>
                <w:b/>
                <w:lang w:val="en-US"/>
              </w:rPr>
              <w:lastRenderedPageBreak/>
              <w:t>Notes</w:t>
            </w:r>
          </w:p>
          <w:p w:rsidR="006B0115" w:rsidRPr="00D16865" w:rsidRDefault="00734180">
            <w:pPr>
              <w:contextualSpacing/>
              <w:rPr>
                <w:rFonts w:cs="Arial"/>
                <w:lang w:val="en-US"/>
              </w:rPr>
            </w:pPr>
            <w:r w:rsidRPr="00D16865">
              <w:rPr>
                <w:rFonts w:cs="Arial"/>
                <w:lang w:val="en-US"/>
              </w:rPr>
              <w:t>We contacted the trial investigators contacted who provided relevant data tor the 2 x 2 table to be completed (</w:t>
            </w:r>
            <w:r w:rsidR="000D2B3F" w:rsidRPr="00D16865">
              <w:rPr>
                <w:rFonts w:cs="Arial"/>
                <w:lang w:val="en-US"/>
              </w:rPr>
              <w:t>Dr</w:t>
            </w:r>
            <w:r w:rsidR="004C661D">
              <w:rPr>
                <w:rFonts w:cs="Arial"/>
                <w:lang w:val="en-US"/>
              </w:rPr>
              <w:t>.</w:t>
            </w:r>
            <w:r w:rsidR="000D2B3F" w:rsidRPr="00D16865">
              <w:rPr>
                <w:rFonts w:cs="Arial"/>
                <w:lang w:val="en-US"/>
              </w:rPr>
              <w:t xml:space="preserve"> </w:t>
            </w:r>
            <w:proofErr w:type="spellStart"/>
            <w:r w:rsidR="000D2B3F" w:rsidRPr="00D16865">
              <w:rPr>
                <w:rFonts w:cs="Arial"/>
                <w:lang w:val="en-US"/>
              </w:rPr>
              <w:t>Schmand’s</w:t>
            </w:r>
            <w:proofErr w:type="spellEnd"/>
            <w:r w:rsidR="000D2B3F" w:rsidRPr="00D16865">
              <w:rPr>
                <w:rFonts w:cs="Arial"/>
                <w:lang w:val="en-US"/>
              </w:rPr>
              <w:t xml:space="preserve"> </w:t>
            </w:r>
            <w:r w:rsidRPr="00D16865">
              <w:rPr>
                <w:rFonts w:cs="Arial"/>
                <w:lang w:val="en-US"/>
              </w:rPr>
              <w:t>email on 13th August 2013)</w:t>
            </w:r>
          </w:p>
          <w:p w:rsidR="00D35EDA" w:rsidRPr="00D16865" w:rsidRDefault="005D0045" w:rsidP="00D35EDA">
            <w:pPr>
              <w:contextualSpacing/>
              <w:rPr>
                <w:lang w:val="en-US"/>
              </w:rPr>
            </w:pPr>
            <w:r w:rsidRPr="00D16865">
              <w:rPr>
                <w:b/>
                <w:lang w:val="en-US"/>
              </w:rPr>
              <w:t xml:space="preserve">Objective: </w:t>
            </w:r>
            <w:r w:rsidR="00D35EDA" w:rsidRPr="00D16865">
              <w:rPr>
                <w:lang w:val="en-US"/>
              </w:rPr>
              <w:t>to examine the value of neuropsychological assessment, structural MRI, CSF biomarkers, and FDG PET scanning with respect to prediction of MCI to AD.</w:t>
            </w:r>
          </w:p>
          <w:p w:rsidR="00D35EDA" w:rsidRPr="00D16865" w:rsidRDefault="00D35EDA" w:rsidP="00D35EDA">
            <w:pPr>
              <w:contextualSpacing/>
              <w:rPr>
                <w:lang w:val="en-US"/>
              </w:rPr>
            </w:pPr>
            <w:r w:rsidRPr="00D16865">
              <w:rPr>
                <w:b/>
                <w:i/>
                <w:lang w:val="en-US"/>
              </w:rPr>
              <w:t>Hypothesis:</w:t>
            </w:r>
            <w:r w:rsidRPr="00D16865">
              <w:rPr>
                <w:i/>
                <w:lang w:val="en-US"/>
              </w:rPr>
              <w:t xml:space="preserve"> </w:t>
            </w:r>
            <w:r w:rsidRPr="00D16865">
              <w:rPr>
                <w:lang w:val="en-US"/>
              </w:rPr>
              <w:t>CSF biomarkers and FDG PET would lose prognostic value when applied in patients older than 75, whereas MRI and neurop</w:t>
            </w:r>
            <w:r w:rsidR="004C661D">
              <w:rPr>
                <w:lang w:val="en-US"/>
              </w:rPr>
              <w:t>sych</w:t>
            </w:r>
            <w:r w:rsidRPr="00D16865">
              <w:rPr>
                <w:lang w:val="en-US"/>
              </w:rPr>
              <w:t>ological testing would not.</w:t>
            </w:r>
          </w:p>
          <w:p w:rsidR="007F3F21" w:rsidRPr="00D16865" w:rsidRDefault="007F3F21">
            <w:pPr>
              <w:contextualSpacing/>
              <w:rPr>
                <w:rFonts w:cs="Arial"/>
                <w:lang w:val="en-US"/>
              </w:rPr>
            </w:pPr>
            <w:r w:rsidRPr="00D16865">
              <w:rPr>
                <w:rFonts w:cs="Arial"/>
                <w:b/>
                <w:lang w:val="en-US"/>
              </w:rPr>
              <w:t>Conclusion</w:t>
            </w:r>
          </w:p>
          <w:p w:rsidR="007F3F21" w:rsidRPr="00D16865" w:rsidRDefault="006478E5">
            <w:pPr>
              <w:contextualSpacing/>
              <w:rPr>
                <w:lang w:val="en-US"/>
              </w:rPr>
            </w:pPr>
            <w:r w:rsidRPr="00D16865">
              <w:rPr>
                <w:lang w:val="en-US"/>
              </w:rPr>
              <w:t>“The diagnostic yield of different techniques in predicting conversion from MCI to AD is moderate, and that it is affected by age of the subject under study. MRI and neuropsychological assessment remain informative in patients older than 75 years, unlike CSF biomarkers.”</w:t>
            </w:r>
          </w:p>
        </w:tc>
      </w:tr>
      <w:tr w:rsidR="007B1794" w:rsidRPr="00D16865" w:rsidTr="0031616E">
        <w:tc>
          <w:tcPr>
            <w:tcW w:w="13948" w:type="dxa"/>
            <w:gridSpan w:val="2"/>
          </w:tcPr>
          <w:p w:rsidR="007B1794" w:rsidRPr="00D16865" w:rsidRDefault="007B1794">
            <w:pPr>
              <w:contextualSpacing/>
              <w:rPr>
                <w:b/>
                <w:lang w:val="en-US"/>
              </w:rPr>
            </w:pPr>
          </w:p>
        </w:tc>
      </w:tr>
      <w:tr w:rsidR="00DA4731" w:rsidRPr="00D16865" w:rsidTr="0031616E">
        <w:tc>
          <w:tcPr>
            <w:tcW w:w="13948" w:type="dxa"/>
            <w:gridSpan w:val="2"/>
          </w:tcPr>
          <w:p w:rsidR="00DA4731" w:rsidRPr="00D16865" w:rsidRDefault="00013AF7" w:rsidP="00183948">
            <w:pPr>
              <w:contextualSpacing/>
              <w:rPr>
                <w:b/>
                <w:lang w:val="en-US"/>
              </w:rPr>
            </w:pPr>
            <w:r w:rsidRPr="00D16865">
              <w:rPr>
                <w:b/>
                <w:lang w:val="en-US"/>
              </w:rPr>
              <w:t>Shaffer 2013</w:t>
            </w:r>
          </w:p>
        </w:tc>
      </w:tr>
      <w:tr w:rsidR="00013AF7" w:rsidRPr="00D16865" w:rsidTr="0031616E">
        <w:tc>
          <w:tcPr>
            <w:tcW w:w="2771" w:type="dxa"/>
          </w:tcPr>
          <w:p w:rsidR="00013AF7" w:rsidRPr="00D16865" w:rsidRDefault="00013AF7" w:rsidP="00894B84">
            <w:pPr>
              <w:contextualSpacing/>
              <w:rPr>
                <w:b/>
                <w:lang w:val="en-US"/>
              </w:rPr>
            </w:pPr>
            <w:r w:rsidRPr="00D16865">
              <w:rPr>
                <w:b/>
                <w:lang w:val="en-US"/>
              </w:rPr>
              <w:t>Patient sampling</w:t>
            </w:r>
          </w:p>
        </w:tc>
        <w:tc>
          <w:tcPr>
            <w:tcW w:w="11177" w:type="dxa"/>
          </w:tcPr>
          <w:p w:rsidR="00013AF7" w:rsidRPr="00D16865" w:rsidRDefault="00013AF7" w:rsidP="00894B84">
            <w:pPr>
              <w:contextualSpacing/>
              <w:rPr>
                <w:lang w:val="en-US"/>
              </w:rPr>
            </w:pPr>
            <w:r w:rsidRPr="00D16865">
              <w:rPr>
                <w:u w:val="single"/>
                <w:lang w:val="en-US"/>
              </w:rPr>
              <w:t>Study design:</w:t>
            </w:r>
            <w:r w:rsidRPr="00D16865">
              <w:rPr>
                <w:lang w:val="en-US"/>
              </w:rPr>
              <w:t xml:space="preserve"> nested case-control design; retrospective analysis of longitudinal data from ADNI database</w:t>
            </w:r>
          </w:p>
          <w:p w:rsidR="00013AF7" w:rsidRPr="00D16865" w:rsidRDefault="00013AF7" w:rsidP="00894B84">
            <w:pPr>
              <w:autoSpaceDE w:val="0"/>
              <w:autoSpaceDN w:val="0"/>
              <w:adjustRightInd w:val="0"/>
              <w:contextualSpacing/>
              <w:rPr>
                <w:rFonts w:cs="ATBasilia-Roman"/>
                <w:lang w:val="en-US"/>
              </w:rPr>
            </w:pPr>
            <w:r w:rsidRPr="00D16865">
              <w:rPr>
                <w:rFonts w:cs="Arial"/>
                <w:lang w:val="en-US"/>
              </w:rPr>
              <w:t xml:space="preserve">Method: </w:t>
            </w:r>
            <w:r w:rsidRPr="00D16865">
              <w:rPr>
                <w:rFonts w:cs="ATBasilia-Roman"/>
                <w:lang w:val="en-US"/>
              </w:rPr>
              <w:t xml:space="preserve">Eight models were considered, including </w:t>
            </w:r>
            <w:r w:rsidR="009B3C69" w:rsidRPr="00D16865">
              <w:rPr>
                <w:rFonts w:cs="ATBasilia-Roman"/>
                <w:lang w:val="en-US"/>
              </w:rPr>
              <w:t xml:space="preserve">participants with </w:t>
            </w:r>
            <w:r w:rsidRPr="00D16865">
              <w:rPr>
                <w:rFonts w:cs="ATBasilia-Roman"/>
                <w:lang w:val="en-US"/>
              </w:rPr>
              <w:t xml:space="preserve">all combinations of MR imaging, PET, and CSF markers with the covariates. </w:t>
            </w:r>
            <w:r w:rsidRPr="00D16865">
              <w:rPr>
                <w:lang w:val="en-US"/>
              </w:rPr>
              <w:t xml:space="preserve">We included only data for the accuracy of </w:t>
            </w:r>
            <w:r w:rsidRPr="00D16865">
              <w:rPr>
                <w:vertAlign w:val="superscript"/>
                <w:lang w:val="en-US"/>
              </w:rPr>
              <w:t>18</w:t>
            </w:r>
            <w:r w:rsidRPr="00D16865">
              <w:rPr>
                <w:lang w:val="en-US"/>
              </w:rPr>
              <w:t xml:space="preserve">F-FDG PET alone provided by </w:t>
            </w:r>
            <w:r w:rsidRPr="00D16865">
              <w:rPr>
                <w:rFonts w:eastAsia="Times New Roman" w:cs="Times"/>
                <w:lang w:val="en-US"/>
              </w:rPr>
              <w:t>Dr Petrella (email on 21/3/2016)</w:t>
            </w:r>
          </w:p>
          <w:p w:rsidR="00013AF7" w:rsidRPr="00D16865" w:rsidRDefault="00013AF7" w:rsidP="00894B84">
            <w:pPr>
              <w:autoSpaceDE w:val="0"/>
              <w:autoSpaceDN w:val="0"/>
              <w:adjustRightInd w:val="0"/>
              <w:contextualSpacing/>
              <w:rPr>
                <w:lang w:val="en-US"/>
              </w:rPr>
            </w:pPr>
            <w:r w:rsidRPr="00D16865">
              <w:rPr>
                <w:u w:val="single"/>
                <w:lang w:val="en-US"/>
              </w:rPr>
              <w:t>Exclusion criteria</w:t>
            </w:r>
            <w:r w:rsidRPr="00D16865">
              <w:rPr>
                <w:lang w:val="en-US"/>
              </w:rPr>
              <w:t xml:space="preserve">: not reported in the paper; </w:t>
            </w:r>
            <w:r w:rsidR="00BB67D6" w:rsidRPr="00D16865">
              <w:rPr>
                <w:lang w:val="en-US"/>
              </w:rPr>
              <w:t xml:space="preserve">authors </w:t>
            </w:r>
            <w:r w:rsidRPr="00D16865">
              <w:rPr>
                <w:lang w:val="en-US"/>
              </w:rPr>
              <w:t xml:space="preserve">refer to </w:t>
            </w:r>
            <w:r w:rsidRPr="00D16865">
              <w:rPr>
                <w:rFonts w:cs="ATBasilia-Roman"/>
                <w:lang w:val="en-US"/>
              </w:rPr>
              <w:t>Appendix E1 [online]</w:t>
            </w:r>
          </w:p>
        </w:tc>
      </w:tr>
      <w:tr w:rsidR="00013AF7" w:rsidRPr="00D16865" w:rsidTr="0031616E">
        <w:tc>
          <w:tcPr>
            <w:tcW w:w="2771" w:type="dxa"/>
          </w:tcPr>
          <w:p w:rsidR="00013AF7" w:rsidRPr="00D16865" w:rsidRDefault="00013AF7" w:rsidP="00894B84">
            <w:pPr>
              <w:contextualSpacing/>
              <w:rPr>
                <w:b/>
                <w:lang w:val="en-US"/>
              </w:rPr>
            </w:pPr>
            <w:r w:rsidRPr="00D16865">
              <w:rPr>
                <w:b/>
                <w:lang w:val="en-US"/>
              </w:rPr>
              <w:t>Patient characteristics and settings</w:t>
            </w:r>
          </w:p>
        </w:tc>
        <w:tc>
          <w:tcPr>
            <w:tcW w:w="11177" w:type="dxa"/>
          </w:tcPr>
          <w:p w:rsidR="00013AF7" w:rsidRPr="00D16865" w:rsidRDefault="00013AF7" w:rsidP="00013AF7">
            <w:pPr>
              <w:contextualSpacing/>
              <w:rPr>
                <w:lang w:val="en-US"/>
              </w:rPr>
            </w:pPr>
            <w:r w:rsidRPr="00D16865">
              <w:rPr>
                <w:lang w:val="en-US"/>
              </w:rPr>
              <w:t>97 ADNI participants with MCI: 43 MCI-AD-converters; 54 MCI-non-converters</w:t>
            </w:r>
            <w:r w:rsidR="00154631" w:rsidRPr="00D16865">
              <w:rPr>
                <w:lang w:val="en-US"/>
              </w:rPr>
              <w:t xml:space="preserve"> (Table 1, p586)</w:t>
            </w:r>
            <w:r w:rsidR="00BB67D6" w:rsidRPr="00D16865">
              <w:rPr>
                <w:lang w:val="en-US"/>
              </w:rPr>
              <w:t xml:space="preserve">. </w:t>
            </w:r>
          </w:p>
          <w:p w:rsidR="00013AF7" w:rsidRPr="00D16865" w:rsidRDefault="00013AF7" w:rsidP="00013AF7">
            <w:pPr>
              <w:spacing w:after="120"/>
              <w:contextualSpacing/>
              <w:rPr>
                <w:rFonts w:eastAsia="Times New Roman" w:cs="Arial"/>
                <w:lang w:val="en-US" w:eastAsia="en-GB"/>
              </w:rPr>
            </w:pPr>
            <w:r w:rsidRPr="00D16865">
              <w:rPr>
                <w:rFonts w:eastAsia="Times New Roman" w:cs="Arial"/>
                <w:u w:val="single"/>
                <w:lang w:val="en-US" w:eastAsia="en-GB"/>
              </w:rPr>
              <w:t xml:space="preserve">Gender: </w:t>
            </w:r>
            <w:r w:rsidRPr="00D16865">
              <w:rPr>
                <w:rFonts w:eastAsia="Times New Roman" w:cs="Arial"/>
                <w:lang w:val="en-US" w:eastAsia="en-GB"/>
              </w:rPr>
              <w:t xml:space="preserve"> women </w:t>
            </w:r>
            <w:r w:rsidR="00154631" w:rsidRPr="00D16865">
              <w:rPr>
                <w:rFonts w:eastAsia="Times New Roman" w:cs="Arial"/>
                <w:lang w:val="en-US" w:eastAsia="en-GB"/>
              </w:rPr>
              <w:t>14</w:t>
            </w:r>
            <w:r w:rsidRPr="00D16865">
              <w:rPr>
                <w:rFonts w:eastAsia="Times New Roman" w:cs="Arial"/>
                <w:lang w:val="en-US" w:eastAsia="en-GB"/>
              </w:rPr>
              <w:t xml:space="preserve"> and men</w:t>
            </w:r>
            <w:r w:rsidR="00154631" w:rsidRPr="00D16865">
              <w:rPr>
                <w:rFonts w:eastAsia="Times New Roman" w:cs="Arial"/>
                <w:lang w:val="en-US" w:eastAsia="en-GB"/>
              </w:rPr>
              <w:t xml:space="preserve"> 29 </w:t>
            </w:r>
            <w:r w:rsidRPr="00D16865">
              <w:rPr>
                <w:rFonts w:eastAsia="Times New Roman" w:cs="Arial"/>
                <w:lang w:val="en-US" w:eastAsia="en-GB"/>
              </w:rPr>
              <w:t xml:space="preserve">MCI converters; women </w:t>
            </w:r>
            <w:r w:rsidR="00154631" w:rsidRPr="00D16865">
              <w:rPr>
                <w:rFonts w:eastAsia="Times New Roman" w:cs="Arial"/>
                <w:lang w:val="en-US" w:eastAsia="en-GB"/>
              </w:rPr>
              <w:t>16</w:t>
            </w:r>
            <w:r w:rsidRPr="00D16865">
              <w:rPr>
                <w:rFonts w:eastAsia="Times New Roman" w:cs="Arial"/>
                <w:lang w:val="en-US" w:eastAsia="en-GB"/>
              </w:rPr>
              <w:t xml:space="preserve"> and men </w:t>
            </w:r>
            <w:r w:rsidR="00154631" w:rsidRPr="00D16865">
              <w:rPr>
                <w:rFonts w:eastAsia="Times New Roman" w:cs="Arial"/>
                <w:lang w:val="en-US" w:eastAsia="en-GB"/>
              </w:rPr>
              <w:t>38</w:t>
            </w:r>
            <w:r w:rsidRPr="00D16865">
              <w:rPr>
                <w:rFonts w:eastAsia="Times New Roman" w:cs="Arial"/>
                <w:lang w:val="en-US" w:eastAsia="en-GB"/>
              </w:rPr>
              <w:t xml:space="preserve"> non-MCI converters</w:t>
            </w:r>
          </w:p>
          <w:p w:rsidR="00013AF7" w:rsidRPr="00D16865" w:rsidRDefault="00013AF7" w:rsidP="00013AF7">
            <w:pPr>
              <w:spacing w:after="120"/>
              <w:contextualSpacing/>
              <w:rPr>
                <w:rFonts w:eastAsia="Times New Roman" w:cs="Arial"/>
                <w:lang w:val="en-US" w:eastAsia="en-GB"/>
              </w:rPr>
            </w:pPr>
            <w:r w:rsidRPr="00D16865">
              <w:rPr>
                <w:rFonts w:eastAsia="Times New Roman" w:cs="Arial"/>
                <w:u w:val="single"/>
                <w:lang w:val="en-US" w:eastAsia="en-GB"/>
              </w:rPr>
              <w:t>Age</w:t>
            </w:r>
            <w:r w:rsidR="00154631" w:rsidRPr="00D16865">
              <w:rPr>
                <w:rFonts w:eastAsia="Times New Roman" w:cs="Arial"/>
                <w:u w:val="single"/>
                <w:lang w:val="en-US" w:eastAsia="en-GB"/>
              </w:rPr>
              <w:t>(y</w:t>
            </w:r>
            <w:r w:rsidRPr="00D16865">
              <w:rPr>
                <w:rFonts w:eastAsia="Times New Roman" w:cs="Arial"/>
                <w:u w:val="single"/>
                <w:lang w:val="en-US" w:eastAsia="en-GB"/>
              </w:rPr>
              <w:t>):</w:t>
            </w:r>
            <w:r w:rsidRPr="00D16865">
              <w:rPr>
                <w:rFonts w:eastAsia="Times New Roman" w:cs="Arial"/>
                <w:lang w:val="en-US" w:eastAsia="en-GB"/>
              </w:rPr>
              <w:t xml:space="preserve"> MCI converters </w:t>
            </w:r>
            <w:r w:rsidR="00154631" w:rsidRPr="00D16865">
              <w:rPr>
                <w:rFonts w:eastAsia="Times New Roman" w:cs="Arial"/>
                <w:lang w:val="en-US" w:eastAsia="en-GB"/>
              </w:rPr>
              <w:t xml:space="preserve">75.44±7.222; </w:t>
            </w:r>
            <w:r w:rsidRPr="00D16865">
              <w:rPr>
                <w:rFonts w:eastAsia="Times New Roman" w:cs="Arial"/>
                <w:lang w:val="en-US" w:eastAsia="en-GB"/>
              </w:rPr>
              <w:t xml:space="preserve">non-MCI converters </w:t>
            </w:r>
            <w:r w:rsidR="00154631" w:rsidRPr="00D16865">
              <w:rPr>
                <w:rFonts w:eastAsia="Times New Roman" w:cs="Arial"/>
                <w:lang w:val="en-US" w:eastAsia="en-GB"/>
              </w:rPr>
              <w:t>74.74± 1.185</w:t>
            </w:r>
          </w:p>
          <w:p w:rsidR="00013AF7" w:rsidRPr="00D16865" w:rsidRDefault="00013AF7" w:rsidP="00013AF7">
            <w:pPr>
              <w:spacing w:after="120"/>
              <w:contextualSpacing/>
              <w:rPr>
                <w:rFonts w:eastAsia="Times New Roman" w:cs="Arial"/>
                <w:lang w:val="en-US" w:eastAsia="en-GB"/>
              </w:rPr>
            </w:pPr>
            <w:r w:rsidRPr="00D16865">
              <w:rPr>
                <w:rFonts w:eastAsia="Times New Roman" w:cs="Arial"/>
                <w:u w:val="single"/>
                <w:lang w:val="en-US" w:eastAsia="en-GB"/>
              </w:rPr>
              <w:t>APOE ε4 carrier:</w:t>
            </w:r>
            <w:r w:rsidRPr="00D16865">
              <w:rPr>
                <w:rFonts w:eastAsia="Times New Roman" w:cs="Arial"/>
                <w:lang w:val="en-US" w:eastAsia="en-GB"/>
              </w:rPr>
              <w:t xml:space="preserve"> MCI converters </w:t>
            </w:r>
            <w:r w:rsidR="00154631" w:rsidRPr="00D16865">
              <w:rPr>
                <w:rFonts w:eastAsia="Times New Roman" w:cs="Arial"/>
                <w:lang w:val="en-US" w:eastAsia="en-GB"/>
              </w:rPr>
              <w:t>26/43 (60.47</w:t>
            </w:r>
            <w:r w:rsidRPr="00D16865">
              <w:rPr>
                <w:rFonts w:eastAsia="Times New Roman" w:cs="Arial"/>
                <w:lang w:val="en-US" w:eastAsia="en-GB"/>
              </w:rPr>
              <w:t xml:space="preserve">%); non-MCI converters </w:t>
            </w:r>
            <w:r w:rsidR="00154631" w:rsidRPr="00D16865">
              <w:rPr>
                <w:rFonts w:eastAsia="Times New Roman" w:cs="Arial"/>
                <w:lang w:val="en-US" w:eastAsia="en-GB"/>
              </w:rPr>
              <w:t>27/54</w:t>
            </w:r>
            <w:r w:rsidRPr="00D16865">
              <w:rPr>
                <w:rFonts w:eastAsia="Times New Roman" w:cs="Arial"/>
                <w:lang w:val="en-US" w:eastAsia="en-GB"/>
              </w:rPr>
              <w:t xml:space="preserve"> </w:t>
            </w:r>
            <w:r w:rsidR="00154631" w:rsidRPr="00D16865">
              <w:rPr>
                <w:rFonts w:eastAsia="Times New Roman" w:cs="Arial"/>
                <w:lang w:val="en-US" w:eastAsia="en-GB"/>
              </w:rPr>
              <w:t>(50.00</w:t>
            </w:r>
            <w:r w:rsidRPr="00D16865">
              <w:rPr>
                <w:rFonts w:eastAsia="Times New Roman" w:cs="Arial"/>
                <w:lang w:val="en-US" w:eastAsia="en-GB"/>
              </w:rPr>
              <w:t>%)</w:t>
            </w:r>
          </w:p>
          <w:p w:rsidR="00013AF7" w:rsidRPr="00D16865" w:rsidRDefault="00013AF7" w:rsidP="00013AF7">
            <w:pPr>
              <w:spacing w:after="120"/>
              <w:contextualSpacing/>
              <w:rPr>
                <w:rFonts w:eastAsia="Times New Roman" w:cs="Arial"/>
                <w:lang w:val="en-US" w:eastAsia="en-GB"/>
              </w:rPr>
            </w:pPr>
            <w:r w:rsidRPr="00D16865">
              <w:rPr>
                <w:rFonts w:eastAsia="Times New Roman" w:cs="Arial"/>
                <w:u w:val="single"/>
                <w:lang w:val="en-US" w:eastAsia="en-GB"/>
              </w:rPr>
              <w:t>MMSE:</w:t>
            </w:r>
            <w:r w:rsidRPr="00D16865">
              <w:rPr>
                <w:rFonts w:eastAsia="Times New Roman" w:cs="Arial"/>
                <w:lang w:val="en-US" w:eastAsia="en-GB"/>
              </w:rPr>
              <w:t xml:space="preserve"> </w:t>
            </w:r>
            <w:r w:rsidR="00154631" w:rsidRPr="00D16865">
              <w:rPr>
                <w:rFonts w:eastAsia="Times New Roman" w:cs="Arial"/>
                <w:lang w:val="en-US" w:eastAsia="en-GB"/>
              </w:rPr>
              <w:t>MCI converters 26.63±1.705; non-MCI converters 27.54±1.575</w:t>
            </w:r>
          </w:p>
          <w:p w:rsidR="00013AF7" w:rsidRPr="00D16865" w:rsidRDefault="001C7711" w:rsidP="00013AF7">
            <w:pPr>
              <w:spacing w:after="120"/>
              <w:contextualSpacing/>
              <w:rPr>
                <w:rFonts w:eastAsia="Times New Roman" w:cs="Arial"/>
                <w:u w:val="single"/>
                <w:lang w:val="en-US" w:eastAsia="en-GB"/>
              </w:rPr>
            </w:pPr>
            <w:r w:rsidRPr="00D16865">
              <w:rPr>
                <w:rFonts w:eastAsia="Times New Roman" w:cs="Arial"/>
                <w:u w:val="single"/>
                <w:lang w:val="en-US" w:eastAsia="en-GB"/>
              </w:rPr>
              <w:t>Education (y</w:t>
            </w:r>
            <w:r w:rsidR="00013AF7" w:rsidRPr="00D16865">
              <w:rPr>
                <w:rFonts w:eastAsia="Times New Roman" w:cs="Arial"/>
                <w:u w:val="single"/>
                <w:lang w:val="en-US" w:eastAsia="en-GB"/>
              </w:rPr>
              <w:t xml:space="preserve">): </w:t>
            </w:r>
            <w:r w:rsidR="00013AF7" w:rsidRPr="00D16865">
              <w:rPr>
                <w:rFonts w:eastAsia="Times New Roman" w:cs="Arial"/>
                <w:lang w:val="en-US" w:eastAsia="en-GB"/>
              </w:rPr>
              <w:t xml:space="preserve">MCI converters </w:t>
            </w:r>
            <w:r w:rsidR="00154631" w:rsidRPr="00D16865">
              <w:rPr>
                <w:rFonts w:eastAsia="Times New Roman" w:cs="Arial"/>
                <w:lang w:val="en-US" w:eastAsia="en-GB"/>
              </w:rPr>
              <w:t>16.33±2.579</w:t>
            </w:r>
            <w:r w:rsidR="00013AF7" w:rsidRPr="00D16865">
              <w:rPr>
                <w:rFonts w:eastAsia="Times New Roman" w:cs="Arial"/>
                <w:lang w:val="en-US" w:eastAsia="en-GB"/>
              </w:rPr>
              <w:t xml:space="preserve">; non-MCI converters </w:t>
            </w:r>
            <w:r w:rsidR="00154631" w:rsidRPr="00D16865">
              <w:rPr>
                <w:rFonts w:eastAsia="Times New Roman" w:cs="Arial"/>
                <w:lang w:val="en-US" w:eastAsia="en-GB"/>
              </w:rPr>
              <w:t>15.54±3.184</w:t>
            </w:r>
          </w:p>
          <w:p w:rsidR="00013AF7" w:rsidRPr="00D16865" w:rsidRDefault="00013AF7" w:rsidP="00013AF7">
            <w:pPr>
              <w:spacing w:after="120"/>
              <w:contextualSpacing/>
              <w:rPr>
                <w:rFonts w:eastAsia="Times New Roman" w:cs="Arial"/>
                <w:lang w:val="en-US" w:eastAsia="en-GB"/>
              </w:rPr>
            </w:pPr>
            <w:r w:rsidRPr="00D16865">
              <w:rPr>
                <w:rFonts w:eastAsia="Times New Roman" w:cs="Arial"/>
                <w:u w:val="single"/>
                <w:lang w:val="en-US" w:eastAsia="en-GB"/>
              </w:rPr>
              <w:t>Sources of referral:</w:t>
            </w:r>
            <w:r w:rsidRPr="00D16865">
              <w:rPr>
                <w:rFonts w:eastAsia="Times New Roman" w:cs="Arial"/>
                <w:lang w:val="en-US" w:eastAsia="en-GB"/>
              </w:rPr>
              <w:t xml:space="preserve"> not reported</w:t>
            </w:r>
          </w:p>
          <w:p w:rsidR="00013AF7" w:rsidRPr="00D16865" w:rsidRDefault="00013AF7" w:rsidP="009B3C69">
            <w:pPr>
              <w:spacing w:after="120"/>
              <w:contextualSpacing/>
              <w:rPr>
                <w:rFonts w:eastAsia="Times New Roman" w:cs="Arial"/>
                <w:lang w:val="en-US" w:eastAsia="en-GB"/>
              </w:rPr>
            </w:pPr>
            <w:r w:rsidRPr="00D16865">
              <w:rPr>
                <w:rFonts w:eastAsia="Times New Roman" w:cs="Arial"/>
                <w:u w:val="single"/>
                <w:lang w:val="en-US" w:eastAsia="en-GB"/>
              </w:rPr>
              <w:t>Setting:</w:t>
            </w:r>
            <w:r w:rsidR="009B3C69" w:rsidRPr="00D16865">
              <w:rPr>
                <w:rFonts w:eastAsia="Times New Roman" w:cs="Arial"/>
                <w:lang w:val="en-US" w:eastAsia="en-GB"/>
              </w:rPr>
              <w:t xml:space="preserve"> </w:t>
            </w:r>
            <w:r w:rsidR="004C661D" w:rsidRPr="00D16865">
              <w:rPr>
                <w:rFonts w:eastAsia="Times New Roman" w:cs="Arial"/>
                <w:lang w:val="en-US" w:eastAsia="en-GB"/>
              </w:rPr>
              <w:t>multicenter</w:t>
            </w:r>
            <w:r w:rsidR="009B3C69" w:rsidRPr="00D16865">
              <w:rPr>
                <w:rFonts w:eastAsia="Times New Roman" w:cs="Arial"/>
                <w:lang w:val="en-US" w:eastAsia="en-GB"/>
              </w:rPr>
              <w:t xml:space="preserve"> </w:t>
            </w:r>
          </w:p>
        </w:tc>
      </w:tr>
      <w:tr w:rsidR="00013AF7" w:rsidRPr="00D16865" w:rsidTr="0031616E">
        <w:tc>
          <w:tcPr>
            <w:tcW w:w="2771" w:type="dxa"/>
          </w:tcPr>
          <w:p w:rsidR="00013AF7" w:rsidRPr="00D16865" w:rsidRDefault="00013AF7" w:rsidP="00894B84">
            <w:pPr>
              <w:contextualSpacing/>
              <w:rPr>
                <w:b/>
                <w:lang w:val="en-US"/>
              </w:rPr>
            </w:pPr>
            <w:r w:rsidRPr="00D16865">
              <w:rPr>
                <w:b/>
                <w:lang w:val="en-US"/>
              </w:rPr>
              <w:t>Index test</w:t>
            </w:r>
          </w:p>
        </w:tc>
        <w:tc>
          <w:tcPr>
            <w:tcW w:w="11177" w:type="dxa"/>
          </w:tcPr>
          <w:p w:rsidR="00013AF7" w:rsidRPr="00D16865" w:rsidRDefault="00013AF7" w:rsidP="00013AF7">
            <w:pPr>
              <w:autoSpaceDE w:val="0"/>
              <w:autoSpaceDN w:val="0"/>
              <w:adjustRightInd w:val="0"/>
              <w:contextualSpacing/>
              <w:rPr>
                <w:rFonts w:cs="Times-Roman"/>
                <w:lang w:val="en-US"/>
              </w:rPr>
            </w:pPr>
            <w:r w:rsidRPr="00D16865">
              <w:rPr>
                <w:vertAlign w:val="superscript"/>
                <w:lang w:val="en-US"/>
              </w:rPr>
              <w:t>18</w:t>
            </w:r>
            <w:r w:rsidRPr="00D16865">
              <w:rPr>
                <w:lang w:val="en-US"/>
              </w:rPr>
              <w:t>F-FDG PET</w:t>
            </w:r>
            <w:r w:rsidRPr="00D16865">
              <w:rPr>
                <w:rFonts w:cs="Times-Roman"/>
                <w:lang w:val="en-US"/>
              </w:rPr>
              <w:t xml:space="preserve"> scan</w:t>
            </w:r>
          </w:p>
          <w:p w:rsidR="009B3C69" w:rsidRPr="00D16865" w:rsidRDefault="009B3C69" w:rsidP="00894B84">
            <w:pPr>
              <w:contextualSpacing/>
              <w:rPr>
                <w:i/>
                <w:u w:val="single"/>
                <w:lang w:val="en-US"/>
              </w:rPr>
            </w:pPr>
            <w:r w:rsidRPr="00D16865">
              <w:rPr>
                <w:i/>
                <w:u w:val="single"/>
                <w:lang w:val="en-US"/>
              </w:rPr>
              <w:t>Acquisition</w:t>
            </w:r>
          </w:p>
          <w:p w:rsidR="009B3C69" w:rsidRPr="00D16865" w:rsidRDefault="009B3C69" w:rsidP="009B3C69">
            <w:pPr>
              <w:pStyle w:val="NormalWeb"/>
              <w:contextualSpacing/>
              <w:rPr>
                <w:rFonts w:asciiTheme="minorHAnsi" w:hAnsiTheme="minorHAnsi" w:cs="Times-Roman"/>
                <w:sz w:val="22"/>
                <w:szCs w:val="22"/>
                <w:lang w:val="en-US"/>
              </w:rPr>
            </w:pPr>
            <w:r w:rsidRPr="00D16865">
              <w:rPr>
                <w:rFonts w:asciiTheme="minorHAnsi" w:hAnsiTheme="minorHAnsi" w:cs="Arial"/>
                <w:sz w:val="22"/>
                <w:szCs w:val="22"/>
                <w:lang w:val="en-US"/>
              </w:rPr>
              <w:t xml:space="preserve">Not </w:t>
            </w:r>
            <w:r w:rsidR="00212D02" w:rsidRPr="00D16865">
              <w:rPr>
                <w:rFonts w:asciiTheme="minorHAnsi" w:hAnsiTheme="minorHAnsi" w:cs="Arial"/>
                <w:sz w:val="22"/>
                <w:szCs w:val="22"/>
                <w:lang w:val="en-US"/>
              </w:rPr>
              <w:t>d</w:t>
            </w:r>
            <w:r w:rsidRPr="00D16865">
              <w:rPr>
                <w:rFonts w:asciiTheme="minorHAnsi" w:hAnsiTheme="minorHAnsi" w:cs="Arial"/>
                <w:sz w:val="22"/>
                <w:szCs w:val="22"/>
                <w:lang w:val="en-US"/>
              </w:rPr>
              <w:t xml:space="preserve">escribed. </w:t>
            </w:r>
            <w:r w:rsidRPr="00D16865">
              <w:rPr>
                <w:rFonts w:asciiTheme="minorHAnsi" w:hAnsiTheme="minorHAnsi" w:cs="Times-Roman"/>
                <w:sz w:val="22"/>
                <w:szCs w:val="22"/>
                <w:lang w:val="en-US"/>
              </w:rPr>
              <w:t>FDG PET scan data are provided by ADNI.</w:t>
            </w:r>
          </w:p>
          <w:p w:rsidR="0091571A" w:rsidRPr="00D16865" w:rsidRDefault="009B3C69" w:rsidP="0091571A">
            <w:pPr>
              <w:pStyle w:val="NormalWeb"/>
              <w:contextualSpacing/>
              <w:rPr>
                <w:rFonts w:asciiTheme="minorHAnsi" w:hAnsiTheme="minorHAnsi"/>
                <w:i/>
                <w:sz w:val="22"/>
                <w:szCs w:val="22"/>
                <w:u w:val="single"/>
                <w:lang w:val="en-US"/>
              </w:rPr>
            </w:pPr>
            <w:r w:rsidRPr="00D16865">
              <w:rPr>
                <w:rFonts w:asciiTheme="minorHAnsi" w:hAnsiTheme="minorHAnsi"/>
                <w:i/>
                <w:sz w:val="22"/>
                <w:szCs w:val="22"/>
                <w:u w:val="single"/>
                <w:lang w:val="en-US"/>
              </w:rPr>
              <w:t>Data analysis</w:t>
            </w:r>
          </w:p>
          <w:p w:rsidR="0091571A" w:rsidRPr="00D16865" w:rsidRDefault="0091571A" w:rsidP="0091571A">
            <w:pPr>
              <w:pStyle w:val="NormalWeb"/>
              <w:contextualSpacing/>
              <w:rPr>
                <w:rFonts w:asciiTheme="minorHAnsi" w:hAnsiTheme="minorHAnsi" w:cs="ATBasilia-Roman"/>
                <w:sz w:val="22"/>
                <w:szCs w:val="22"/>
                <w:lang w:val="en-US"/>
              </w:rPr>
            </w:pPr>
            <w:r w:rsidRPr="00D16865">
              <w:rPr>
                <w:rFonts w:asciiTheme="minorHAnsi" w:hAnsiTheme="minorHAnsi" w:cs="ATBasilia-Roman"/>
                <w:sz w:val="22"/>
                <w:szCs w:val="22"/>
                <w:lang w:val="en-US"/>
              </w:rPr>
              <w:t>FDG PET images were co-registered, averaged, reoriented, intensity corrected,</w:t>
            </w:r>
            <w:r w:rsidRPr="00D16865">
              <w:rPr>
                <w:rFonts w:asciiTheme="minorHAnsi" w:hAnsiTheme="minorHAnsi"/>
                <w:i/>
                <w:sz w:val="22"/>
                <w:szCs w:val="22"/>
                <w:u w:val="single"/>
                <w:lang w:val="en-US"/>
              </w:rPr>
              <w:t xml:space="preserve"> </w:t>
            </w:r>
            <w:r w:rsidRPr="00D16865">
              <w:rPr>
                <w:rFonts w:asciiTheme="minorHAnsi" w:hAnsiTheme="minorHAnsi" w:cs="ATBasilia-Roman"/>
                <w:sz w:val="22"/>
                <w:szCs w:val="22"/>
                <w:lang w:val="en-US"/>
              </w:rPr>
              <w:t xml:space="preserve">and smoothed. The loading parameters for </w:t>
            </w:r>
            <w:r w:rsidRPr="00D16865">
              <w:rPr>
                <w:rFonts w:asciiTheme="minorHAnsi" w:hAnsiTheme="minorHAnsi" w:cs="ATBasilia-Roman"/>
                <w:sz w:val="22"/>
                <w:szCs w:val="22"/>
                <w:lang w:val="en-US"/>
              </w:rPr>
              <w:lastRenderedPageBreak/>
              <w:t xml:space="preserve">all components were </w:t>
            </w:r>
            <w:r w:rsidR="004C661D" w:rsidRPr="00D16865">
              <w:rPr>
                <w:rFonts w:asciiTheme="minorHAnsi" w:hAnsiTheme="minorHAnsi" w:cs="ATBasilia-Roman"/>
                <w:sz w:val="22"/>
                <w:szCs w:val="22"/>
                <w:lang w:val="en-US"/>
              </w:rPr>
              <w:t>analyzed</w:t>
            </w:r>
            <w:r w:rsidRPr="00D16865">
              <w:rPr>
                <w:rFonts w:asciiTheme="minorHAnsi" w:hAnsiTheme="minorHAnsi" w:cs="ATBasilia-Roman"/>
                <w:sz w:val="22"/>
                <w:szCs w:val="22"/>
                <w:lang w:val="en-US"/>
              </w:rPr>
              <w:t xml:space="preserve"> by group (converters vs non-converters) by using an independent </w:t>
            </w:r>
            <w:r w:rsidR="00012EDE" w:rsidRPr="00D16865">
              <w:rPr>
                <w:rFonts w:asciiTheme="minorHAnsi" w:hAnsiTheme="minorHAnsi" w:cs="ATBasilia-Roman"/>
                <w:sz w:val="22"/>
                <w:szCs w:val="22"/>
                <w:lang w:val="en-US"/>
              </w:rPr>
              <w:t>component analysis (ICA) (</w:t>
            </w:r>
            <w:r w:rsidRPr="00D16865">
              <w:rPr>
                <w:rFonts w:asciiTheme="minorHAnsi" w:hAnsiTheme="minorHAnsi" w:cs="ATBasilia-Italic"/>
                <w:i/>
                <w:iCs/>
                <w:sz w:val="22"/>
                <w:szCs w:val="22"/>
                <w:lang w:val="en-US"/>
              </w:rPr>
              <w:t xml:space="preserve">t </w:t>
            </w:r>
            <w:r w:rsidRPr="00D16865">
              <w:rPr>
                <w:rFonts w:asciiTheme="minorHAnsi" w:hAnsiTheme="minorHAnsi" w:cs="ATBasilia-Roman"/>
                <w:sz w:val="22"/>
                <w:szCs w:val="22"/>
                <w:lang w:val="en-US"/>
              </w:rPr>
              <w:t>test</w:t>
            </w:r>
            <w:r w:rsidR="00012EDE" w:rsidRPr="00D16865">
              <w:rPr>
                <w:rFonts w:asciiTheme="minorHAnsi" w:hAnsiTheme="minorHAnsi" w:cs="ATBasilia-Roman"/>
                <w:sz w:val="22"/>
                <w:szCs w:val="22"/>
                <w:lang w:val="en-US"/>
              </w:rPr>
              <w:t>)</w:t>
            </w:r>
            <w:r w:rsidRPr="00D16865">
              <w:rPr>
                <w:rFonts w:asciiTheme="minorHAnsi" w:hAnsiTheme="minorHAnsi" w:cs="ATBasilia-Roman"/>
                <w:sz w:val="22"/>
                <w:szCs w:val="22"/>
                <w:lang w:val="en-US"/>
              </w:rPr>
              <w:t xml:space="preserve"> to determine which </w:t>
            </w:r>
            <w:r w:rsidR="009F1533" w:rsidRPr="00D16865">
              <w:rPr>
                <w:rFonts w:asciiTheme="minorHAnsi" w:hAnsiTheme="minorHAnsi" w:cs="Arial"/>
                <w:sz w:val="22"/>
                <w:szCs w:val="22"/>
                <w:vertAlign w:val="superscript"/>
                <w:lang w:val="en-US"/>
              </w:rPr>
              <w:t>18</w:t>
            </w:r>
            <w:r w:rsidR="009F1533" w:rsidRPr="00D16865">
              <w:rPr>
                <w:rFonts w:asciiTheme="minorHAnsi" w:hAnsiTheme="minorHAnsi" w:cs="Arial"/>
                <w:sz w:val="22"/>
                <w:szCs w:val="22"/>
                <w:lang w:val="en-US"/>
              </w:rPr>
              <w:t xml:space="preserve">F-FDG PET </w:t>
            </w:r>
            <w:r w:rsidRPr="00D16865">
              <w:rPr>
                <w:rFonts w:asciiTheme="minorHAnsi" w:hAnsiTheme="minorHAnsi" w:cs="ATBasilia-Roman"/>
                <w:sz w:val="22"/>
                <w:szCs w:val="22"/>
                <w:lang w:val="en-US"/>
              </w:rPr>
              <w:t>components</w:t>
            </w:r>
            <w:r w:rsidRPr="00D16865">
              <w:rPr>
                <w:rFonts w:asciiTheme="minorHAnsi" w:hAnsiTheme="minorHAnsi"/>
                <w:i/>
                <w:sz w:val="22"/>
                <w:szCs w:val="22"/>
                <w:u w:val="single"/>
                <w:lang w:val="en-US"/>
              </w:rPr>
              <w:t xml:space="preserve"> </w:t>
            </w:r>
            <w:r w:rsidRPr="00D16865">
              <w:rPr>
                <w:rFonts w:asciiTheme="minorHAnsi" w:hAnsiTheme="minorHAnsi" w:cs="ATBasilia-Roman"/>
                <w:sz w:val="22"/>
                <w:szCs w:val="22"/>
                <w:lang w:val="en-US"/>
              </w:rPr>
              <w:t>were associated with conversion to AD.</w:t>
            </w:r>
          </w:p>
          <w:p w:rsidR="00894B84" w:rsidRPr="00D16865" w:rsidRDefault="00894B84" w:rsidP="0091571A">
            <w:pPr>
              <w:pStyle w:val="NormalWeb"/>
              <w:contextualSpacing/>
              <w:rPr>
                <w:rFonts w:asciiTheme="minorHAnsi" w:hAnsiTheme="minorHAnsi"/>
                <w:i/>
                <w:sz w:val="22"/>
                <w:szCs w:val="22"/>
                <w:u w:val="single"/>
                <w:lang w:val="en-US"/>
              </w:rPr>
            </w:pPr>
            <w:r w:rsidRPr="00D16865">
              <w:rPr>
                <w:rFonts w:asciiTheme="minorHAnsi" w:hAnsiTheme="minorHAnsi"/>
                <w:sz w:val="22"/>
                <w:szCs w:val="22"/>
                <w:u w:val="single"/>
                <w:lang w:val="en-US"/>
              </w:rPr>
              <w:t>Threshold</w:t>
            </w:r>
            <w:proofErr w:type="gramStart"/>
            <w:r w:rsidRPr="00D16865">
              <w:rPr>
                <w:rFonts w:asciiTheme="minorHAnsi" w:hAnsiTheme="minorHAnsi"/>
                <w:sz w:val="22"/>
                <w:szCs w:val="22"/>
                <w:u w:val="single"/>
                <w:lang w:val="en-US"/>
              </w:rPr>
              <w:t>:</w:t>
            </w:r>
            <w:r w:rsidRPr="00D16865">
              <w:rPr>
                <w:rFonts w:asciiTheme="minorHAnsi" w:hAnsiTheme="minorHAnsi"/>
                <w:sz w:val="22"/>
                <w:szCs w:val="22"/>
                <w:lang w:val="en-US"/>
              </w:rPr>
              <w:t xml:space="preserve"> </w:t>
            </w:r>
            <w:r w:rsidR="002A7F2D" w:rsidRPr="00D16865">
              <w:rPr>
                <w:rFonts w:asciiTheme="minorHAnsi" w:hAnsiTheme="minorHAnsi"/>
                <w:sz w:val="22"/>
                <w:szCs w:val="22"/>
                <w:lang w:val="en-US"/>
              </w:rPr>
              <w:t xml:space="preserve"> </w:t>
            </w:r>
            <w:r w:rsidR="002A7F2D" w:rsidRPr="00D16865">
              <w:rPr>
                <w:rFonts w:asciiTheme="minorHAnsi" w:hAnsiTheme="minorHAnsi"/>
                <w:i/>
                <w:sz w:val="22"/>
                <w:szCs w:val="22"/>
                <w:lang w:val="en-US"/>
              </w:rPr>
              <w:t>“</w:t>
            </w:r>
            <w:proofErr w:type="gramEnd"/>
            <w:r w:rsidR="002A7F2D" w:rsidRPr="00D16865">
              <w:rPr>
                <w:rFonts w:asciiTheme="minorHAnsi" w:hAnsiTheme="minorHAnsi"/>
                <w:i/>
                <w:sz w:val="22"/>
                <w:szCs w:val="22"/>
                <w:lang w:val="en-US"/>
              </w:rPr>
              <w:t>it is a weighted combination of loading parameters for about 5 different AD-specific metabolic patterns, and therefore is not a specific SUV value that can be directly compared with other studies</w:t>
            </w:r>
            <w:r w:rsidR="00E260F3" w:rsidRPr="00D16865">
              <w:rPr>
                <w:rFonts w:asciiTheme="minorHAnsi" w:hAnsiTheme="minorHAnsi"/>
                <w:i/>
                <w:sz w:val="22"/>
                <w:szCs w:val="22"/>
                <w:lang w:val="en-US"/>
              </w:rPr>
              <w:t>; we sought to optimize accuracy”</w:t>
            </w:r>
            <w:r w:rsidR="00E260F3" w:rsidRPr="00D16865">
              <w:rPr>
                <w:rFonts w:asciiTheme="minorHAnsi" w:hAnsiTheme="minorHAnsi"/>
                <w:sz w:val="22"/>
                <w:szCs w:val="22"/>
                <w:lang w:val="en-US"/>
              </w:rPr>
              <w:t xml:space="preserve"> (Dr Petrella; </w:t>
            </w:r>
            <w:r w:rsidR="00E260F3" w:rsidRPr="00D16865">
              <w:rPr>
                <w:rFonts w:asciiTheme="minorHAnsi" w:hAnsiTheme="minorHAnsi" w:cs="Times"/>
                <w:sz w:val="22"/>
                <w:szCs w:val="22"/>
                <w:lang w:val="en-US"/>
              </w:rPr>
              <w:t>email on 21/3/2016)</w:t>
            </w:r>
          </w:p>
        </w:tc>
      </w:tr>
      <w:tr w:rsidR="00013AF7" w:rsidRPr="00D16865" w:rsidTr="0031616E">
        <w:tc>
          <w:tcPr>
            <w:tcW w:w="2771" w:type="dxa"/>
          </w:tcPr>
          <w:p w:rsidR="00013AF7" w:rsidRPr="00D16865" w:rsidRDefault="00013AF7" w:rsidP="00894B84">
            <w:pPr>
              <w:contextualSpacing/>
              <w:rPr>
                <w:b/>
                <w:lang w:val="en-US"/>
              </w:rPr>
            </w:pPr>
            <w:r w:rsidRPr="00D16865">
              <w:rPr>
                <w:b/>
                <w:lang w:val="en-US"/>
              </w:rPr>
              <w:lastRenderedPageBreak/>
              <w:t>Target condition</w:t>
            </w:r>
          </w:p>
        </w:tc>
        <w:tc>
          <w:tcPr>
            <w:tcW w:w="11177" w:type="dxa"/>
          </w:tcPr>
          <w:p w:rsidR="00013AF7" w:rsidRPr="00D16865" w:rsidRDefault="00894B84" w:rsidP="00894B84">
            <w:pPr>
              <w:contextualSpacing/>
              <w:rPr>
                <w:lang w:val="en-US"/>
              </w:rPr>
            </w:pPr>
            <w:r w:rsidRPr="00D16865">
              <w:rPr>
                <w:u w:val="single"/>
                <w:lang w:val="en-US"/>
              </w:rPr>
              <w:t>Target condition</w:t>
            </w:r>
            <w:r w:rsidRPr="00D16865">
              <w:rPr>
                <w:lang w:val="en-US"/>
              </w:rPr>
              <w:t xml:space="preserve">: conversion from </w:t>
            </w:r>
            <w:r w:rsidR="00BB67D6" w:rsidRPr="00D16865">
              <w:rPr>
                <w:lang w:val="en-US"/>
              </w:rPr>
              <w:t>MCI to AD</w:t>
            </w:r>
          </w:p>
          <w:p w:rsidR="00BB67D6" w:rsidRPr="00D16865" w:rsidRDefault="00BB67D6" w:rsidP="00894B84">
            <w:pPr>
              <w:contextualSpacing/>
              <w:rPr>
                <w:lang w:val="en-US"/>
              </w:rPr>
            </w:pPr>
            <w:r w:rsidRPr="00D16865">
              <w:rPr>
                <w:u w:val="single"/>
                <w:lang w:val="en-US"/>
              </w:rPr>
              <w:t>Reference standard</w:t>
            </w:r>
            <w:r w:rsidRPr="00D16865">
              <w:rPr>
                <w:lang w:val="en-US"/>
              </w:rPr>
              <w:t>: not reported</w:t>
            </w:r>
          </w:p>
        </w:tc>
      </w:tr>
      <w:tr w:rsidR="00013AF7" w:rsidRPr="00D16865" w:rsidTr="0031616E">
        <w:tc>
          <w:tcPr>
            <w:tcW w:w="2771" w:type="dxa"/>
          </w:tcPr>
          <w:p w:rsidR="00013AF7" w:rsidRPr="00D16865" w:rsidRDefault="00013AF7" w:rsidP="00894B84">
            <w:pPr>
              <w:contextualSpacing/>
              <w:rPr>
                <w:b/>
                <w:lang w:val="en-US"/>
              </w:rPr>
            </w:pPr>
            <w:r w:rsidRPr="00D16865">
              <w:rPr>
                <w:b/>
                <w:lang w:val="en-US"/>
              </w:rPr>
              <w:t>Flow and timing</w:t>
            </w:r>
          </w:p>
        </w:tc>
        <w:tc>
          <w:tcPr>
            <w:tcW w:w="11177" w:type="dxa"/>
          </w:tcPr>
          <w:p w:rsidR="00BB67D6" w:rsidRPr="00D16865" w:rsidRDefault="00BB67D6" w:rsidP="00BB67D6">
            <w:pPr>
              <w:spacing w:after="120"/>
              <w:contextualSpacing/>
              <w:rPr>
                <w:rFonts w:eastAsia="Times New Roman" w:cs="Arial"/>
                <w:lang w:val="en-US" w:eastAsia="en-GB"/>
              </w:rPr>
            </w:pPr>
            <w:r w:rsidRPr="00D16865">
              <w:rPr>
                <w:rFonts w:eastAsia="Times New Roman" w:cs="Arial"/>
                <w:lang w:val="en-US" w:eastAsia="en-GB"/>
              </w:rPr>
              <w:t xml:space="preserve">Duration of follow-up: </w:t>
            </w:r>
            <w:r w:rsidR="006F61FA" w:rsidRPr="00D16865">
              <w:rPr>
                <w:rFonts w:eastAsia="Times New Roman" w:cs="Arial"/>
                <w:lang w:val="en-US" w:eastAsia="en-GB"/>
              </w:rPr>
              <w:t>4 years</w:t>
            </w:r>
          </w:p>
          <w:p w:rsidR="00BB67D6" w:rsidRPr="00D16865" w:rsidRDefault="00BB67D6" w:rsidP="00BB67D6">
            <w:pPr>
              <w:autoSpaceDE w:val="0"/>
              <w:autoSpaceDN w:val="0"/>
              <w:adjustRightInd w:val="0"/>
              <w:contextualSpacing/>
              <w:rPr>
                <w:rFonts w:eastAsia="Times New Roman" w:cs="Arial"/>
                <w:u w:val="single"/>
                <w:lang w:val="en-US" w:eastAsia="en-GB"/>
              </w:rPr>
            </w:pPr>
            <w:r w:rsidRPr="00D16865">
              <w:rPr>
                <w:rFonts w:eastAsia="Times New Roman" w:cs="Arial"/>
                <w:u w:val="single"/>
                <w:lang w:val="en-US" w:eastAsia="en-GB"/>
              </w:rPr>
              <w:t>Number included in analysis (N=</w:t>
            </w:r>
            <w:r w:rsidR="006F61FA" w:rsidRPr="00D16865">
              <w:rPr>
                <w:rFonts w:eastAsia="Times New Roman" w:cs="Arial"/>
                <w:u w:val="single"/>
                <w:lang w:val="en-US" w:eastAsia="en-GB"/>
              </w:rPr>
              <w:t>97</w:t>
            </w:r>
            <w:r w:rsidRPr="00D16865">
              <w:rPr>
                <w:rFonts w:eastAsia="Times New Roman" w:cs="Arial"/>
                <w:u w:val="single"/>
                <w:lang w:val="en-US" w:eastAsia="en-GB"/>
              </w:rPr>
              <w:t>)</w:t>
            </w:r>
          </w:p>
          <w:p w:rsidR="00BB67D6" w:rsidRPr="00D16865" w:rsidRDefault="00BB67D6" w:rsidP="00BB67D6">
            <w:pPr>
              <w:autoSpaceDE w:val="0"/>
              <w:autoSpaceDN w:val="0"/>
              <w:adjustRightInd w:val="0"/>
              <w:contextualSpacing/>
              <w:rPr>
                <w:rFonts w:cs="AdvTT3713a231"/>
                <w:color w:val="131413"/>
                <w:lang w:val="en-US"/>
              </w:rPr>
            </w:pPr>
            <w:r w:rsidRPr="00D16865">
              <w:rPr>
                <w:rFonts w:eastAsia="Times New Roman" w:cs="Arial"/>
                <w:lang w:val="en-US" w:eastAsia="en-GB"/>
              </w:rPr>
              <w:t xml:space="preserve">At follow-up: </w:t>
            </w:r>
            <w:r w:rsidR="006F61FA" w:rsidRPr="00D16865">
              <w:rPr>
                <w:rFonts w:eastAsia="Times New Roman" w:cs="Arial"/>
                <w:lang w:val="en-US" w:eastAsia="en-GB"/>
              </w:rPr>
              <w:t>43</w:t>
            </w:r>
            <w:r w:rsidRPr="00D16865">
              <w:rPr>
                <w:rFonts w:eastAsia="Times New Roman" w:cs="Arial"/>
                <w:lang w:val="en-US" w:eastAsia="en-GB"/>
              </w:rPr>
              <w:t xml:space="preserve"> MCI-AD (disease positive); </w:t>
            </w:r>
            <w:r w:rsidR="006F61FA" w:rsidRPr="00D16865">
              <w:rPr>
                <w:rFonts w:eastAsia="Times New Roman" w:cs="Arial"/>
                <w:lang w:val="en-US" w:eastAsia="en-GB"/>
              </w:rPr>
              <w:t xml:space="preserve">54 </w:t>
            </w:r>
            <w:r w:rsidRPr="00D16865">
              <w:rPr>
                <w:rFonts w:eastAsia="Times New Roman" w:cs="Arial"/>
                <w:lang w:val="en-US" w:eastAsia="en-GB"/>
              </w:rPr>
              <w:t>MCI-MCI (disease negative)</w:t>
            </w:r>
          </w:p>
          <w:p w:rsidR="00BB67D6" w:rsidRPr="00D16865" w:rsidRDefault="00BB67D6" w:rsidP="00BB67D6">
            <w:pPr>
              <w:autoSpaceDE w:val="0"/>
              <w:autoSpaceDN w:val="0"/>
              <w:adjustRightInd w:val="0"/>
              <w:contextualSpacing/>
              <w:rPr>
                <w:rFonts w:cs="AdvTT3713a231"/>
                <w:color w:val="131413"/>
                <w:lang w:val="en-US"/>
              </w:rPr>
            </w:pPr>
            <w:r w:rsidRPr="00D16865">
              <w:rPr>
                <w:rFonts w:cs="AdvTT3713a231"/>
                <w:color w:val="131413"/>
                <w:lang w:val="en-US"/>
              </w:rPr>
              <w:t>Conversion from MCI to ADD</w:t>
            </w:r>
          </w:p>
          <w:p w:rsidR="006F61FA" w:rsidRPr="00D16865" w:rsidRDefault="006F61FA" w:rsidP="006F61FA">
            <w:pPr>
              <w:autoSpaceDE w:val="0"/>
              <w:autoSpaceDN w:val="0"/>
              <w:adjustRightInd w:val="0"/>
              <w:contextualSpacing/>
              <w:rPr>
                <w:rFonts w:cs="Times-Roman"/>
                <w:lang w:val="en-US"/>
              </w:rPr>
            </w:pPr>
            <w:r w:rsidRPr="00D16865">
              <w:rPr>
                <w:vertAlign w:val="superscript"/>
                <w:lang w:val="en-US"/>
              </w:rPr>
              <w:t>18</w:t>
            </w:r>
            <w:r w:rsidRPr="00D16865">
              <w:rPr>
                <w:lang w:val="en-US"/>
              </w:rPr>
              <w:t>F-FDG PET</w:t>
            </w:r>
            <w:r w:rsidRPr="00D16865">
              <w:rPr>
                <w:rFonts w:cs="Times-Roman"/>
                <w:lang w:val="en-US"/>
              </w:rPr>
              <w:t xml:space="preserve"> scan alone</w:t>
            </w:r>
          </w:p>
          <w:p w:rsidR="00BB67D6" w:rsidRPr="00D16865" w:rsidRDefault="00BB67D6" w:rsidP="00BB67D6">
            <w:pPr>
              <w:autoSpaceDE w:val="0"/>
              <w:autoSpaceDN w:val="0"/>
              <w:adjustRightInd w:val="0"/>
              <w:contextualSpacing/>
              <w:rPr>
                <w:rFonts w:cs="AdvTT3713a231"/>
                <w:color w:val="131413"/>
                <w:lang w:val="en-US"/>
              </w:rPr>
            </w:pPr>
            <w:r w:rsidRPr="00D16865">
              <w:rPr>
                <w:rFonts w:cs="AdvTT3713a231"/>
                <w:color w:val="131413"/>
                <w:lang w:val="en-US"/>
              </w:rPr>
              <w:t>Sensitivity=</w:t>
            </w:r>
            <w:r w:rsidR="006F61FA" w:rsidRPr="00D16865">
              <w:rPr>
                <w:rFonts w:cs="AdvTT3713a231"/>
                <w:color w:val="131413"/>
                <w:lang w:val="en-US"/>
              </w:rPr>
              <w:t>88</w:t>
            </w:r>
            <w:r w:rsidRPr="00D16865">
              <w:rPr>
                <w:rFonts w:cs="AdvTT3713a231"/>
                <w:color w:val="131413"/>
                <w:lang w:val="en-US"/>
              </w:rPr>
              <w:t>%%; specificity=</w:t>
            </w:r>
            <w:r w:rsidR="006F61FA" w:rsidRPr="00D16865">
              <w:rPr>
                <w:rFonts w:cs="AdvTT3713a231"/>
                <w:color w:val="131413"/>
                <w:lang w:val="en-US"/>
              </w:rPr>
              <w:t>76</w:t>
            </w:r>
            <w:r w:rsidRPr="00D16865">
              <w:rPr>
                <w:rFonts w:cs="AdvTT3713a231"/>
                <w:color w:val="131413"/>
                <w:lang w:val="en-US"/>
              </w:rPr>
              <w:t>%</w:t>
            </w:r>
            <w:r w:rsidR="006F61FA" w:rsidRPr="00D16865">
              <w:rPr>
                <w:rFonts w:cs="AdvTT3713a231"/>
                <w:color w:val="131413"/>
                <w:lang w:val="en-US"/>
              </w:rPr>
              <w:t xml:space="preserve"> (</w:t>
            </w:r>
            <w:r w:rsidR="006F61FA" w:rsidRPr="00D16865">
              <w:rPr>
                <w:rFonts w:eastAsia="Times New Roman" w:cs="Times"/>
                <w:lang w:val="en-US"/>
              </w:rPr>
              <w:t>Dr Petrella</w:t>
            </w:r>
            <w:r w:rsidR="000D2B3F" w:rsidRPr="00D16865">
              <w:rPr>
                <w:rFonts w:eastAsia="Times New Roman" w:cs="Times"/>
                <w:lang w:val="en-US"/>
              </w:rPr>
              <w:t xml:space="preserve">’s </w:t>
            </w:r>
            <w:r w:rsidR="00E260F3" w:rsidRPr="00D16865">
              <w:rPr>
                <w:rFonts w:eastAsia="Times New Roman" w:cs="Times"/>
                <w:lang w:val="en-US"/>
              </w:rPr>
              <w:t>email on 21</w:t>
            </w:r>
            <w:r w:rsidR="006F61FA" w:rsidRPr="00D16865">
              <w:rPr>
                <w:rFonts w:eastAsia="Times New Roman" w:cs="Times"/>
                <w:lang w:val="en-US"/>
              </w:rPr>
              <w:t>/3/2016)</w:t>
            </w:r>
          </w:p>
          <w:p w:rsidR="00BB67D6" w:rsidRPr="00D16865" w:rsidRDefault="00BB67D6" w:rsidP="00BB67D6">
            <w:pPr>
              <w:autoSpaceDE w:val="0"/>
              <w:autoSpaceDN w:val="0"/>
              <w:adjustRightInd w:val="0"/>
              <w:contextualSpacing/>
              <w:rPr>
                <w:rFonts w:cs="Arial"/>
                <w:lang w:val="en-US"/>
              </w:rPr>
            </w:pPr>
            <w:r w:rsidRPr="00D16865">
              <w:rPr>
                <w:rFonts w:cs="Arial"/>
                <w:lang w:val="en-US"/>
              </w:rPr>
              <w:t>TP=</w:t>
            </w:r>
            <w:r w:rsidR="00231F42" w:rsidRPr="00D16865">
              <w:rPr>
                <w:rFonts w:cs="Arial"/>
                <w:lang w:val="en-US"/>
              </w:rPr>
              <w:t>38</w:t>
            </w:r>
            <w:r w:rsidRPr="00D16865">
              <w:rPr>
                <w:rFonts w:cs="Arial"/>
                <w:lang w:val="en-US"/>
              </w:rPr>
              <w:t>; FP=</w:t>
            </w:r>
            <w:r w:rsidR="00231F42" w:rsidRPr="00D16865">
              <w:rPr>
                <w:rFonts w:cs="Arial"/>
                <w:lang w:val="en-US"/>
              </w:rPr>
              <w:t>13</w:t>
            </w:r>
            <w:r w:rsidRPr="00D16865">
              <w:rPr>
                <w:rFonts w:cs="Arial"/>
                <w:lang w:val="en-US"/>
              </w:rPr>
              <w:t>; FN=</w:t>
            </w:r>
            <w:r w:rsidR="00231F42" w:rsidRPr="00D16865">
              <w:rPr>
                <w:rFonts w:cs="Arial"/>
                <w:lang w:val="en-US"/>
              </w:rPr>
              <w:t>5</w:t>
            </w:r>
            <w:r w:rsidRPr="00D16865">
              <w:rPr>
                <w:rFonts w:cs="Arial"/>
                <w:lang w:val="en-US"/>
              </w:rPr>
              <w:t>; TN=</w:t>
            </w:r>
            <w:r w:rsidR="00231F42" w:rsidRPr="00D16865">
              <w:rPr>
                <w:rFonts w:cs="Arial"/>
                <w:lang w:val="en-US"/>
              </w:rPr>
              <w:t>41; PPV=79.5%; NPV=8</w:t>
            </w:r>
            <w:r w:rsidRPr="00D16865">
              <w:rPr>
                <w:rFonts w:cs="Arial"/>
                <w:lang w:val="en-US"/>
              </w:rPr>
              <w:t>5% (Calculated in Revman5)</w:t>
            </w:r>
          </w:p>
          <w:p w:rsidR="006F61FA" w:rsidRPr="00D16865" w:rsidRDefault="006F61FA" w:rsidP="00BB67D6">
            <w:pPr>
              <w:autoSpaceDE w:val="0"/>
              <w:autoSpaceDN w:val="0"/>
              <w:adjustRightInd w:val="0"/>
              <w:contextualSpacing/>
              <w:rPr>
                <w:rFonts w:cs="Arial"/>
                <w:lang w:val="en-US"/>
              </w:rPr>
            </w:pPr>
            <w:r w:rsidRPr="00D16865">
              <w:rPr>
                <w:vertAlign w:val="superscript"/>
                <w:lang w:val="en-US"/>
              </w:rPr>
              <w:t>18</w:t>
            </w:r>
            <w:r w:rsidRPr="00D16865">
              <w:rPr>
                <w:lang w:val="en-US"/>
              </w:rPr>
              <w:t>F-FDG PET</w:t>
            </w:r>
            <w:r w:rsidRPr="00D16865">
              <w:rPr>
                <w:rFonts w:cs="Times-Roman"/>
                <w:lang w:val="en-US"/>
              </w:rPr>
              <w:t xml:space="preserve"> scan &amp; covariates (</w:t>
            </w:r>
            <w:r w:rsidRPr="00D16865">
              <w:rPr>
                <w:lang w:val="en-US"/>
              </w:rPr>
              <w:t>age, education, APOE genotype and ADAS-COG)</w:t>
            </w:r>
          </w:p>
          <w:p w:rsidR="006F61FA" w:rsidRPr="00D16865" w:rsidRDefault="006F61FA" w:rsidP="006F61FA">
            <w:pPr>
              <w:autoSpaceDE w:val="0"/>
              <w:autoSpaceDN w:val="0"/>
              <w:adjustRightInd w:val="0"/>
              <w:contextualSpacing/>
              <w:rPr>
                <w:rFonts w:cs="AdvTT3713a231"/>
                <w:color w:val="131413"/>
                <w:lang w:val="en-US"/>
              </w:rPr>
            </w:pPr>
            <w:r w:rsidRPr="00D16865">
              <w:rPr>
                <w:rFonts w:cs="AdvTT3713a231"/>
                <w:color w:val="131413"/>
                <w:lang w:val="en-US"/>
              </w:rPr>
              <w:t>Sensitivity=</w:t>
            </w:r>
            <w:r w:rsidR="00AE0074" w:rsidRPr="00D16865">
              <w:rPr>
                <w:rFonts w:cs="AdvTT3713a231"/>
                <w:color w:val="131413"/>
                <w:lang w:val="en-US"/>
              </w:rPr>
              <w:t>81</w:t>
            </w:r>
            <w:r w:rsidRPr="00D16865">
              <w:rPr>
                <w:rFonts w:cs="AdvTT3713a231"/>
                <w:color w:val="131413"/>
                <w:lang w:val="en-US"/>
              </w:rPr>
              <w:t>%%; specif</w:t>
            </w:r>
            <w:r w:rsidR="00AE0074" w:rsidRPr="00D16865">
              <w:rPr>
                <w:rFonts w:cs="AdvTT3713a231"/>
                <w:color w:val="131413"/>
                <w:lang w:val="en-US"/>
              </w:rPr>
              <w:t>icity=83</w:t>
            </w:r>
            <w:r w:rsidRPr="00D16865">
              <w:rPr>
                <w:rFonts w:cs="AdvTT3713a231"/>
                <w:color w:val="131413"/>
                <w:lang w:val="en-US"/>
              </w:rPr>
              <w:t>% (</w:t>
            </w:r>
            <w:r w:rsidRPr="00D16865">
              <w:rPr>
                <w:rFonts w:eastAsia="Times New Roman" w:cs="Times"/>
                <w:lang w:val="en-US"/>
              </w:rPr>
              <w:t>Dr Petrella; email on 21/3/2016)</w:t>
            </w:r>
          </w:p>
          <w:p w:rsidR="00013AF7" w:rsidRPr="00D16865" w:rsidRDefault="006F61FA" w:rsidP="0091571A">
            <w:pPr>
              <w:autoSpaceDE w:val="0"/>
              <w:autoSpaceDN w:val="0"/>
              <w:adjustRightInd w:val="0"/>
              <w:contextualSpacing/>
              <w:rPr>
                <w:rFonts w:cs="Arial"/>
                <w:lang w:val="en-US"/>
              </w:rPr>
            </w:pPr>
            <w:r w:rsidRPr="00D16865">
              <w:rPr>
                <w:rFonts w:cs="Arial"/>
                <w:lang w:val="en-US"/>
              </w:rPr>
              <w:t>TP=</w:t>
            </w:r>
            <w:r w:rsidR="00231F42" w:rsidRPr="00D16865">
              <w:rPr>
                <w:rFonts w:cs="Arial"/>
                <w:lang w:val="en-US"/>
              </w:rPr>
              <w:t>35</w:t>
            </w:r>
            <w:r w:rsidRPr="00D16865">
              <w:rPr>
                <w:rFonts w:cs="Arial"/>
                <w:lang w:val="en-US"/>
              </w:rPr>
              <w:t>; FP=</w:t>
            </w:r>
            <w:r w:rsidR="00231F42" w:rsidRPr="00D16865">
              <w:rPr>
                <w:rFonts w:cs="Arial"/>
                <w:lang w:val="en-US"/>
              </w:rPr>
              <w:t>9</w:t>
            </w:r>
            <w:r w:rsidRPr="00D16865">
              <w:rPr>
                <w:rFonts w:cs="Arial"/>
                <w:lang w:val="en-US"/>
              </w:rPr>
              <w:t>; FN=</w:t>
            </w:r>
            <w:r w:rsidR="00231F42" w:rsidRPr="00D16865">
              <w:rPr>
                <w:rFonts w:cs="Arial"/>
                <w:lang w:val="en-US"/>
              </w:rPr>
              <w:t>8</w:t>
            </w:r>
            <w:r w:rsidRPr="00D16865">
              <w:rPr>
                <w:rFonts w:cs="Arial"/>
                <w:lang w:val="en-US"/>
              </w:rPr>
              <w:t>; TN=</w:t>
            </w:r>
            <w:r w:rsidR="00231F42" w:rsidRPr="00D16865">
              <w:rPr>
                <w:rFonts w:cs="Arial"/>
                <w:lang w:val="en-US"/>
              </w:rPr>
              <w:t>45; PPV=74.5</w:t>
            </w:r>
            <w:r w:rsidRPr="00D16865">
              <w:rPr>
                <w:rFonts w:cs="Arial"/>
                <w:lang w:val="en-US"/>
              </w:rPr>
              <w:t>%; NPV=</w:t>
            </w:r>
            <w:r w:rsidR="00231F42" w:rsidRPr="00D16865">
              <w:rPr>
                <w:rFonts w:cs="Arial"/>
                <w:lang w:val="en-US"/>
              </w:rPr>
              <w:t>89</w:t>
            </w:r>
            <w:r w:rsidR="0091571A" w:rsidRPr="00D16865">
              <w:rPr>
                <w:rFonts w:cs="Arial"/>
                <w:lang w:val="en-US"/>
              </w:rPr>
              <w:t>% (Calculated in Revman5)</w:t>
            </w:r>
          </w:p>
        </w:tc>
      </w:tr>
      <w:tr w:rsidR="00013AF7" w:rsidRPr="00D16865" w:rsidTr="0031616E">
        <w:tc>
          <w:tcPr>
            <w:tcW w:w="13948" w:type="dxa"/>
            <w:gridSpan w:val="2"/>
          </w:tcPr>
          <w:p w:rsidR="00013AF7" w:rsidRPr="00D16865" w:rsidRDefault="00013AF7" w:rsidP="006C5884">
            <w:pPr>
              <w:contextualSpacing/>
              <w:rPr>
                <w:b/>
                <w:lang w:val="en-US"/>
              </w:rPr>
            </w:pPr>
            <w:r w:rsidRPr="00D16865">
              <w:rPr>
                <w:b/>
                <w:lang w:val="en-US"/>
              </w:rPr>
              <w:t>Note</w:t>
            </w:r>
            <w:r w:rsidR="00284F24" w:rsidRPr="00D16865">
              <w:rPr>
                <w:b/>
                <w:lang w:val="en-US"/>
              </w:rPr>
              <w:t>s</w:t>
            </w:r>
          </w:p>
          <w:p w:rsidR="000D2B3F" w:rsidRPr="00D16865" w:rsidRDefault="000D2B3F" w:rsidP="006C5884">
            <w:pPr>
              <w:contextualSpacing/>
              <w:rPr>
                <w:b/>
                <w:lang w:val="en-US"/>
              </w:rPr>
            </w:pPr>
            <w:r w:rsidRPr="00D16865">
              <w:rPr>
                <w:rFonts w:cs="Arial"/>
                <w:lang w:val="en-US"/>
              </w:rPr>
              <w:t>We contacted the trial investigators contacted who provided relevant data tor the 2 x 2 table to be completed (</w:t>
            </w:r>
            <w:r w:rsidRPr="00D16865">
              <w:rPr>
                <w:rFonts w:eastAsia="Times New Roman" w:cs="Times"/>
                <w:lang w:val="en-US"/>
              </w:rPr>
              <w:t>Dr Petrella’s email on 21/3/2016</w:t>
            </w:r>
            <w:r w:rsidRPr="00D16865">
              <w:rPr>
                <w:rFonts w:cs="Arial"/>
                <w:lang w:val="en-US"/>
              </w:rPr>
              <w:t>)</w:t>
            </w:r>
          </w:p>
          <w:p w:rsidR="0045392B" w:rsidRPr="00D16865" w:rsidRDefault="005D0045" w:rsidP="0045392B">
            <w:pPr>
              <w:autoSpaceDE w:val="0"/>
              <w:autoSpaceDN w:val="0"/>
              <w:adjustRightInd w:val="0"/>
              <w:contextualSpacing/>
              <w:rPr>
                <w:rFonts w:cs="ATBasilia-Roman"/>
                <w:lang w:val="en-US"/>
              </w:rPr>
            </w:pPr>
            <w:r w:rsidRPr="00D16865">
              <w:rPr>
                <w:b/>
                <w:lang w:val="en-US"/>
              </w:rPr>
              <w:t>Objective</w:t>
            </w:r>
            <w:r w:rsidR="00013AF7" w:rsidRPr="00D16865">
              <w:rPr>
                <w:b/>
                <w:lang w:val="en-US"/>
              </w:rPr>
              <w:t>:</w:t>
            </w:r>
            <w:r w:rsidR="00013AF7" w:rsidRPr="00D16865">
              <w:rPr>
                <w:lang w:val="en-US"/>
              </w:rPr>
              <w:t xml:space="preserve"> </w:t>
            </w:r>
            <w:r w:rsidR="007743C4" w:rsidRPr="00D16865">
              <w:rPr>
                <w:lang w:val="en-US"/>
              </w:rPr>
              <w:t>to assess the extent to which multiple AD biomarkers,</w:t>
            </w:r>
            <w:r w:rsidR="007743C4" w:rsidRPr="00D16865">
              <w:rPr>
                <w:rFonts w:cs="ATBasilia-Roman"/>
                <w:i/>
                <w:lang w:val="en-US"/>
              </w:rPr>
              <w:t xml:space="preserve"> such as CSF proteins, MR imaging, and </w:t>
            </w:r>
            <w:r w:rsidR="009F1533" w:rsidRPr="00D16865">
              <w:rPr>
                <w:rFonts w:cs="Arial"/>
                <w:vertAlign w:val="superscript"/>
                <w:lang w:val="en-US"/>
              </w:rPr>
              <w:t>18</w:t>
            </w:r>
            <w:r w:rsidR="009F1533" w:rsidRPr="00D16865">
              <w:rPr>
                <w:rFonts w:cs="Arial"/>
                <w:lang w:val="en-US"/>
              </w:rPr>
              <w:t>F-FDG PET</w:t>
            </w:r>
            <w:r w:rsidR="007743C4" w:rsidRPr="00D16865">
              <w:rPr>
                <w:rFonts w:cs="ATBasilia-Roman"/>
                <w:i/>
                <w:lang w:val="en-US"/>
              </w:rPr>
              <w:t>,</w:t>
            </w:r>
            <w:r w:rsidR="007743C4" w:rsidRPr="00D16865">
              <w:rPr>
                <w:lang w:val="en-US"/>
              </w:rPr>
              <w:t xml:space="preserve"> improve the ability to predict future decline in participants with MCI compared with prediction bas</w:t>
            </w:r>
            <w:r w:rsidR="0045392B" w:rsidRPr="00D16865">
              <w:rPr>
                <w:lang w:val="en-US"/>
              </w:rPr>
              <w:t xml:space="preserve">ed on clinical parameters alone; </w:t>
            </w:r>
            <w:r w:rsidR="0045392B" w:rsidRPr="00D16865">
              <w:rPr>
                <w:rFonts w:cs="ATBasilia-Roman"/>
                <w:i/>
                <w:lang w:val="en-US"/>
              </w:rPr>
              <w:t xml:space="preserve">to </w:t>
            </w:r>
            <w:r w:rsidR="0045392B" w:rsidRPr="00D16865">
              <w:rPr>
                <w:rFonts w:cs="ATBasilia-Roman"/>
                <w:lang w:val="en-US"/>
              </w:rPr>
              <w:t>develop the best model that could differentiate subjects with MCI who converted to AD from those who did not.</w:t>
            </w:r>
          </w:p>
          <w:p w:rsidR="006478E5" w:rsidRPr="00D16865" w:rsidRDefault="00013AF7" w:rsidP="00013AF7">
            <w:pPr>
              <w:autoSpaceDE w:val="0"/>
              <w:autoSpaceDN w:val="0"/>
              <w:adjustRightInd w:val="0"/>
              <w:contextualSpacing/>
              <w:rPr>
                <w:rFonts w:cs="ATBasilia-Roman"/>
                <w:b/>
                <w:lang w:val="en-US"/>
              </w:rPr>
            </w:pPr>
            <w:r w:rsidRPr="00D16865">
              <w:rPr>
                <w:rFonts w:cs="ATBasilia-Roman"/>
                <w:b/>
                <w:lang w:val="en-US"/>
              </w:rPr>
              <w:t>Conc</w:t>
            </w:r>
            <w:r w:rsidR="006478E5" w:rsidRPr="00D16865">
              <w:rPr>
                <w:rFonts w:cs="ATBasilia-Roman"/>
                <w:b/>
                <w:lang w:val="en-US"/>
              </w:rPr>
              <w:t>lusion</w:t>
            </w:r>
          </w:p>
          <w:p w:rsidR="005C299A" w:rsidRPr="00D16865" w:rsidRDefault="00013AF7" w:rsidP="005C299A">
            <w:pPr>
              <w:autoSpaceDE w:val="0"/>
              <w:autoSpaceDN w:val="0"/>
              <w:adjustRightInd w:val="0"/>
              <w:rPr>
                <w:rFonts w:cs="ATBasilia-Roman"/>
                <w:lang w:val="en-US"/>
              </w:rPr>
            </w:pPr>
            <w:r w:rsidRPr="00D16865">
              <w:rPr>
                <w:rFonts w:cs="ATBasilia-Roman"/>
                <w:lang w:val="en-US"/>
              </w:rPr>
              <w:t>“Imaging and CSF biomarkers can improve prediction of conversion from MCI to AD compared with baseline clinical testing. Among three imaging and molecular biomarkers, FDG PET appears to be the primary contributor, with misclassification rates for FDG PET, MR</w:t>
            </w:r>
            <w:r w:rsidR="00402C37" w:rsidRPr="00D16865">
              <w:rPr>
                <w:rFonts w:cs="ATBasilia-Roman"/>
                <w:lang w:val="en-US"/>
              </w:rPr>
              <w:t>I</w:t>
            </w:r>
            <w:r w:rsidRPr="00D16865">
              <w:rPr>
                <w:rFonts w:cs="ATBasilia-Roman"/>
                <w:lang w:val="en-US"/>
              </w:rPr>
              <w:t xml:space="preserve"> imaging, and CSF compared with clinical variables alone of 27.2% (</w:t>
            </w:r>
            <w:r w:rsidR="004C661D">
              <w:rPr>
                <w:rFonts w:cs="ATBasilia-Roman"/>
                <w:lang w:val="en-US"/>
              </w:rPr>
              <w:t>p = 0</w:t>
            </w:r>
            <w:r w:rsidRPr="00D16865">
              <w:rPr>
                <w:rFonts w:cs="ATBasilia-Roman"/>
                <w:lang w:val="en-US"/>
              </w:rPr>
              <w:t>.00001), 39.2% (</w:t>
            </w:r>
            <w:r w:rsidR="004C661D">
              <w:rPr>
                <w:rFonts w:cs="ATBasilia-Roman"/>
                <w:lang w:val="en-US"/>
              </w:rPr>
              <w:t>p</w:t>
            </w:r>
            <w:r w:rsidRPr="00D16865">
              <w:rPr>
                <w:rFonts w:cs="ATBasilia-Italic"/>
                <w:iCs/>
                <w:lang w:val="en-US"/>
              </w:rPr>
              <w:t xml:space="preserve"> </w:t>
            </w:r>
            <w:r w:rsidRPr="00D16865">
              <w:rPr>
                <w:rFonts w:cs="ATBasilia-Roman"/>
                <w:lang w:val="en-US"/>
              </w:rPr>
              <w:t xml:space="preserve">= </w:t>
            </w:r>
            <w:r w:rsidR="004C661D">
              <w:rPr>
                <w:rFonts w:cs="ATBasilia-Roman"/>
                <w:lang w:val="en-US"/>
              </w:rPr>
              <w:t>0</w:t>
            </w:r>
            <w:r w:rsidRPr="00D16865">
              <w:rPr>
                <w:rFonts w:cs="ATBasilia-Roman"/>
                <w:lang w:val="en-US"/>
              </w:rPr>
              <w:t>.08), and 39.6% (</w:t>
            </w:r>
            <w:r w:rsidR="004C661D">
              <w:rPr>
                <w:rFonts w:cs="ATBasilia-Roman"/>
                <w:lang w:val="en-US"/>
              </w:rPr>
              <w:t>p</w:t>
            </w:r>
            <w:r w:rsidRPr="00D16865">
              <w:rPr>
                <w:rFonts w:cs="ATBasilia-Italic"/>
                <w:iCs/>
                <w:lang w:val="en-US"/>
              </w:rPr>
              <w:t xml:space="preserve"> </w:t>
            </w:r>
            <w:r w:rsidRPr="00D16865">
              <w:rPr>
                <w:rFonts w:cs="ATBasilia-Roman"/>
                <w:lang w:val="en-US"/>
              </w:rPr>
              <w:t xml:space="preserve">= </w:t>
            </w:r>
            <w:r w:rsidR="004C661D">
              <w:rPr>
                <w:rFonts w:cs="ATBasilia-Roman"/>
                <w:lang w:val="en-US"/>
              </w:rPr>
              <w:t>0</w:t>
            </w:r>
            <w:r w:rsidRPr="00D16865">
              <w:rPr>
                <w:rFonts w:cs="ATBasilia-Roman"/>
                <w:lang w:val="en-US"/>
              </w:rPr>
              <w:t>.32), respectively. FDG PET appears to add the g</w:t>
            </w:r>
            <w:r w:rsidR="005C299A" w:rsidRPr="00D16865">
              <w:rPr>
                <w:rFonts w:cs="ATBasilia-Roman"/>
                <w:lang w:val="en-US"/>
              </w:rPr>
              <w:t xml:space="preserve">reatest prognostic information. Combining routine clinical </w:t>
            </w:r>
            <w:r w:rsidR="000E0C6A" w:rsidRPr="00D16865">
              <w:rPr>
                <w:rFonts w:cs="ATBasilia-Roman"/>
                <w:lang w:val="en-US"/>
              </w:rPr>
              <w:t>and cognitive measures</w:t>
            </w:r>
            <w:r w:rsidR="006F0B31" w:rsidRPr="00D16865">
              <w:rPr>
                <w:rFonts w:cs="ATBasilia-Roman"/>
                <w:lang w:val="en-US"/>
              </w:rPr>
              <w:t xml:space="preserve"> (age, education, </w:t>
            </w:r>
            <w:r w:rsidR="006F0B31" w:rsidRPr="00D16865">
              <w:rPr>
                <w:lang w:val="en-US"/>
              </w:rPr>
              <w:t xml:space="preserve">ApoE </w:t>
            </w:r>
            <w:r w:rsidR="006F0B31" w:rsidRPr="00D16865">
              <w:rPr>
                <w:rFonts w:cs="Arial"/>
                <w:lang w:val="en-US"/>
              </w:rPr>
              <w:t>ε4 and cognitive tests)</w:t>
            </w:r>
            <w:r w:rsidR="005C299A" w:rsidRPr="00D16865">
              <w:rPr>
                <w:rFonts w:cs="ATBasilia-Roman"/>
                <w:lang w:val="en-US"/>
              </w:rPr>
              <w:t xml:space="preserve"> with these biomarkers yields the highest accuracy</w:t>
            </w:r>
            <w:r w:rsidR="006F0B31" w:rsidRPr="00D16865">
              <w:rPr>
                <w:rFonts w:cs="ATBasilia-Roman"/>
                <w:lang w:val="en-US"/>
              </w:rPr>
              <w:t xml:space="preserve"> (AUC=92%)</w:t>
            </w:r>
            <w:r w:rsidR="005C299A" w:rsidRPr="00D16865">
              <w:rPr>
                <w:rFonts w:cs="ATBasilia-Roman"/>
                <w:lang w:val="en-US"/>
              </w:rPr>
              <w:t xml:space="preserve"> for predicting conversion to AD in subjects with MCI; however, </w:t>
            </w:r>
            <w:r w:rsidR="006F0B31" w:rsidRPr="00D16865">
              <w:rPr>
                <w:rFonts w:cs="ATBasilia-Roman"/>
                <w:lang w:val="en-US"/>
              </w:rPr>
              <w:t>of these three biomarkers,</w:t>
            </w:r>
            <w:r w:rsidR="005C299A" w:rsidRPr="00D16865">
              <w:rPr>
                <w:rFonts w:cs="ATBasilia-Roman"/>
                <w:lang w:val="en-US"/>
              </w:rPr>
              <w:t xml:space="preserve"> FDG PET</w:t>
            </w:r>
            <w:r w:rsidR="006F0B31" w:rsidRPr="00D16865">
              <w:rPr>
                <w:rFonts w:cs="ATBasilia-Roman"/>
                <w:lang w:val="en-US"/>
              </w:rPr>
              <w:t xml:space="preserve"> was the only biomarker that significantly improved the predictive value of clinical testing (87%)</w:t>
            </w:r>
            <w:r w:rsidR="005C299A" w:rsidRPr="00D16865">
              <w:rPr>
                <w:rFonts w:cs="ATBasilia-Roman"/>
                <w:lang w:val="en-US"/>
              </w:rPr>
              <w:t xml:space="preserve">, suggesting that the benefit of additional diagnostic tests is unclear”. </w:t>
            </w:r>
          </w:p>
          <w:p w:rsidR="00013AF7" w:rsidRPr="00D16865" w:rsidRDefault="0045392B" w:rsidP="0091571A">
            <w:pPr>
              <w:autoSpaceDE w:val="0"/>
              <w:autoSpaceDN w:val="0"/>
              <w:adjustRightInd w:val="0"/>
              <w:contextualSpacing/>
              <w:rPr>
                <w:lang w:val="en-US"/>
              </w:rPr>
            </w:pPr>
            <w:r w:rsidRPr="00D16865">
              <w:rPr>
                <w:u w:val="single"/>
                <w:lang w:val="en-US"/>
              </w:rPr>
              <w:t>Important</w:t>
            </w:r>
            <w:r w:rsidR="00013AF7" w:rsidRPr="00D16865">
              <w:rPr>
                <w:u w:val="single"/>
                <w:lang w:val="en-US"/>
              </w:rPr>
              <w:t>:</w:t>
            </w:r>
            <w:r w:rsidR="00013AF7" w:rsidRPr="00D16865">
              <w:rPr>
                <w:lang w:val="en-US"/>
              </w:rPr>
              <w:t xml:space="preserve"> the authors stated that </w:t>
            </w:r>
            <w:r w:rsidR="00013AF7" w:rsidRPr="00D16865">
              <w:rPr>
                <w:i/>
                <w:lang w:val="en-US"/>
              </w:rPr>
              <w:t xml:space="preserve">“further validation, </w:t>
            </w:r>
            <w:r w:rsidR="004C661D" w:rsidRPr="00D16865">
              <w:rPr>
                <w:i/>
                <w:lang w:val="en-US"/>
              </w:rPr>
              <w:t>standardization</w:t>
            </w:r>
            <w:r w:rsidR="00013AF7" w:rsidRPr="00D16865">
              <w:rPr>
                <w:i/>
                <w:lang w:val="en-US"/>
              </w:rPr>
              <w:t>, and cost-effectiveness studies are needed to translate the most useful biomarkers into routine clinical practice</w:t>
            </w:r>
            <w:r w:rsidR="0091571A" w:rsidRPr="00D16865">
              <w:rPr>
                <w:lang w:val="en-US"/>
              </w:rPr>
              <w:t>”</w:t>
            </w:r>
          </w:p>
        </w:tc>
      </w:tr>
      <w:tr w:rsidR="006478E5" w:rsidRPr="00D16865" w:rsidTr="0031616E">
        <w:tc>
          <w:tcPr>
            <w:tcW w:w="13948" w:type="dxa"/>
            <w:gridSpan w:val="2"/>
          </w:tcPr>
          <w:p w:rsidR="006478E5" w:rsidRPr="00D16865" w:rsidRDefault="006478E5" w:rsidP="00AE0074">
            <w:pPr>
              <w:contextualSpacing/>
              <w:rPr>
                <w:b/>
                <w:lang w:val="en-US"/>
              </w:rPr>
            </w:pPr>
          </w:p>
        </w:tc>
      </w:tr>
      <w:tr w:rsidR="00013AF7" w:rsidRPr="00D16865" w:rsidTr="0031616E">
        <w:tc>
          <w:tcPr>
            <w:tcW w:w="13948" w:type="dxa"/>
            <w:gridSpan w:val="2"/>
          </w:tcPr>
          <w:p w:rsidR="00013AF7" w:rsidRPr="00D16865" w:rsidRDefault="00013AF7" w:rsidP="00AE0074">
            <w:pPr>
              <w:contextualSpacing/>
              <w:rPr>
                <w:lang w:val="en-US"/>
              </w:rPr>
            </w:pPr>
            <w:r w:rsidRPr="00D16865">
              <w:rPr>
                <w:b/>
                <w:lang w:val="en-US"/>
              </w:rPr>
              <w:lastRenderedPageBreak/>
              <w:t>Toussaint 2012</w:t>
            </w:r>
          </w:p>
        </w:tc>
      </w:tr>
      <w:tr w:rsidR="00D000FA" w:rsidRPr="00D16865" w:rsidTr="0031616E">
        <w:tc>
          <w:tcPr>
            <w:tcW w:w="2771" w:type="dxa"/>
          </w:tcPr>
          <w:p w:rsidR="00D000FA" w:rsidRPr="00D16865" w:rsidRDefault="00D000FA" w:rsidP="009A3E78">
            <w:pPr>
              <w:contextualSpacing/>
              <w:rPr>
                <w:b/>
                <w:lang w:val="en-US"/>
              </w:rPr>
            </w:pPr>
            <w:r w:rsidRPr="00D16865">
              <w:rPr>
                <w:b/>
                <w:lang w:val="en-US"/>
              </w:rPr>
              <w:t>Patient sampling</w:t>
            </w:r>
          </w:p>
        </w:tc>
        <w:tc>
          <w:tcPr>
            <w:tcW w:w="11177" w:type="dxa"/>
          </w:tcPr>
          <w:p w:rsidR="00D000FA" w:rsidRPr="00D16865" w:rsidRDefault="00D000FA" w:rsidP="006C5884">
            <w:pPr>
              <w:contextualSpacing/>
              <w:rPr>
                <w:lang w:val="en-US"/>
              </w:rPr>
            </w:pPr>
            <w:r w:rsidRPr="00D16865">
              <w:rPr>
                <w:u w:val="single"/>
                <w:lang w:val="en-US"/>
              </w:rPr>
              <w:t>Study design</w:t>
            </w:r>
            <w:r w:rsidR="006C5884" w:rsidRPr="00D16865">
              <w:rPr>
                <w:lang w:val="en-US"/>
              </w:rPr>
              <w:t xml:space="preserve">: nested cross-sectional study; </w:t>
            </w:r>
            <w:r w:rsidR="00557B9D" w:rsidRPr="00D16865">
              <w:rPr>
                <w:lang w:val="en-US"/>
              </w:rPr>
              <w:t>retrospective analysis of longitudinal data from ADNI database</w:t>
            </w:r>
          </w:p>
          <w:p w:rsidR="000D2B3F" w:rsidRPr="00D16865" w:rsidRDefault="000D2B3F" w:rsidP="000D2B3F">
            <w:pPr>
              <w:spacing w:after="120"/>
              <w:contextualSpacing/>
              <w:rPr>
                <w:rFonts w:eastAsia="Times New Roman" w:cs="Arial"/>
                <w:lang w:val="en-US" w:eastAsia="en-GB"/>
              </w:rPr>
            </w:pPr>
            <w:r w:rsidRPr="00D16865">
              <w:rPr>
                <w:rFonts w:eastAsia="Times New Roman" w:cs="Arial"/>
                <w:lang w:val="en-US" w:eastAsia="en-GB"/>
              </w:rPr>
              <w:t>Participants</w:t>
            </w:r>
            <w:r w:rsidR="009D74B7" w:rsidRPr="00D16865">
              <w:rPr>
                <w:rFonts w:eastAsia="Times New Roman" w:cs="Arial"/>
                <w:lang w:val="en-US" w:eastAsia="en-GB"/>
              </w:rPr>
              <w:t xml:space="preserve"> with AD, MCI-converters and MCI-non-converters and normal elderly were recruited from ADNI cohort. </w:t>
            </w:r>
            <w:r w:rsidR="009D74B7" w:rsidRPr="00D16865">
              <w:rPr>
                <w:lang w:val="en-US"/>
              </w:rPr>
              <w:t>The diagnostic groups were matched for age, sex and MMSE scores</w:t>
            </w:r>
            <w:r w:rsidR="009D74B7" w:rsidRPr="00D16865">
              <w:rPr>
                <w:rFonts w:eastAsia="Times New Roman" w:cs="Arial"/>
                <w:lang w:val="en-US" w:eastAsia="en-GB"/>
              </w:rPr>
              <w:t xml:space="preserve">. </w:t>
            </w:r>
            <w:r w:rsidR="00D000FA" w:rsidRPr="00D16865">
              <w:rPr>
                <w:rFonts w:eastAsia="Times New Roman" w:cs="Arial"/>
                <w:lang w:val="en-US" w:eastAsia="en-GB"/>
              </w:rPr>
              <w:t>We only included data on performance of the index test to discriminate between patients with MCI who convert to dementia</w:t>
            </w:r>
            <w:r w:rsidRPr="00D16865">
              <w:rPr>
                <w:rFonts w:eastAsia="Times New Roman" w:cs="Arial"/>
                <w:lang w:val="en-US" w:eastAsia="en-GB"/>
              </w:rPr>
              <w:t xml:space="preserve"> and those who remained stable.</w:t>
            </w:r>
          </w:p>
          <w:p w:rsidR="00D000FA" w:rsidRPr="00D16865" w:rsidRDefault="00D000FA" w:rsidP="000D2B3F">
            <w:pPr>
              <w:spacing w:after="120"/>
              <w:contextualSpacing/>
              <w:rPr>
                <w:rFonts w:eastAsia="Times New Roman" w:cs="Arial"/>
                <w:lang w:val="en-US" w:eastAsia="en-GB"/>
              </w:rPr>
            </w:pPr>
            <w:r w:rsidRPr="00D16865">
              <w:rPr>
                <w:rFonts w:cs="Arial"/>
                <w:u w:val="single"/>
                <w:lang w:val="en-US"/>
              </w:rPr>
              <w:t>Exclusion criteria</w:t>
            </w:r>
            <w:r w:rsidRPr="00D16865">
              <w:rPr>
                <w:rFonts w:cs="Arial"/>
                <w:lang w:val="en-US"/>
              </w:rPr>
              <w:t xml:space="preserve">: </w:t>
            </w:r>
            <w:r w:rsidR="009D74B7" w:rsidRPr="00D16865">
              <w:rPr>
                <w:rFonts w:cs="Arial"/>
                <w:lang w:val="en-US"/>
              </w:rPr>
              <w:t>not reported</w:t>
            </w:r>
          </w:p>
        </w:tc>
      </w:tr>
      <w:tr w:rsidR="00D000FA" w:rsidRPr="00D16865" w:rsidTr="0031616E">
        <w:tc>
          <w:tcPr>
            <w:tcW w:w="2771" w:type="dxa"/>
          </w:tcPr>
          <w:p w:rsidR="00D000FA" w:rsidRPr="00D16865" w:rsidRDefault="00D000FA" w:rsidP="009A3E78">
            <w:pPr>
              <w:contextualSpacing/>
              <w:rPr>
                <w:b/>
                <w:lang w:val="en-US"/>
              </w:rPr>
            </w:pPr>
            <w:r w:rsidRPr="00D16865">
              <w:rPr>
                <w:b/>
                <w:lang w:val="en-US"/>
              </w:rPr>
              <w:t>Patient characteristics and settings</w:t>
            </w:r>
          </w:p>
        </w:tc>
        <w:tc>
          <w:tcPr>
            <w:tcW w:w="11177" w:type="dxa"/>
          </w:tcPr>
          <w:p w:rsidR="009D74B7" w:rsidRPr="00D16865" w:rsidRDefault="009D74B7" w:rsidP="009A3E78">
            <w:pPr>
              <w:spacing w:after="120"/>
              <w:contextualSpacing/>
              <w:rPr>
                <w:lang w:val="en-US"/>
              </w:rPr>
            </w:pPr>
            <w:r w:rsidRPr="00D16865">
              <w:rPr>
                <w:rFonts w:eastAsia="Times New Roman" w:cs="Arial"/>
                <w:lang w:val="en-US" w:eastAsia="en-GB"/>
              </w:rPr>
              <w:t>80 MCI patients</w:t>
            </w:r>
            <w:r w:rsidR="00D000FA" w:rsidRPr="00D16865">
              <w:rPr>
                <w:rFonts w:eastAsia="Times New Roman" w:cs="Arial"/>
                <w:lang w:val="en-US" w:eastAsia="en-GB"/>
              </w:rPr>
              <w:t xml:space="preserve"> diagnosed by</w:t>
            </w:r>
            <w:r w:rsidRPr="00D16865">
              <w:rPr>
                <w:rFonts w:eastAsia="Times New Roman" w:cs="Arial"/>
                <w:lang w:val="en-US" w:eastAsia="en-GB"/>
              </w:rPr>
              <w:t xml:space="preserve"> Petersen 2010 criteria: </w:t>
            </w:r>
            <w:r w:rsidRPr="00D16865">
              <w:rPr>
                <w:lang w:val="en-US"/>
              </w:rPr>
              <w:t>40 MCI-converters; 40 MCI non-converters</w:t>
            </w:r>
          </w:p>
          <w:p w:rsidR="00D000FA" w:rsidRPr="00D16865" w:rsidRDefault="00D000FA" w:rsidP="009A3E78">
            <w:pPr>
              <w:spacing w:after="120"/>
              <w:contextualSpacing/>
              <w:rPr>
                <w:rFonts w:eastAsia="Times New Roman" w:cs="Arial"/>
                <w:lang w:val="en-US" w:eastAsia="en-GB"/>
              </w:rPr>
            </w:pPr>
            <w:r w:rsidRPr="00D16865">
              <w:rPr>
                <w:rFonts w:eastAsia="Times New Roman" w:cs="Arial"/>
                <w:u w:val="single"/>
                <w:lang w:val="en-US" w:eastAsia="en-GB"/>
              </w:rPr>
              <w:t xml:space="preserve">Gender: </w:t>
            </w:r>
            <w:r w:rsidRPr="00D16865">
              <w:rPr>
                <w:rFonts w:eastAsia="Times New Roman" w:cs="Arial"/>
                <w:lang w:val="en-US" w:eastAsia="en-GB"/>
              </w:rPr>
              <w:t xml:space="preserve"> </w:t>
            </w:r>
            <w:r w:rsidR="009D74B7" w:rsidRPr="00D16865">
              <w:rPr>
                <w:rFonts w:eastAsia="Times New Roman" w:cs="Arial"/>
                <w:lang w:val="en-US" w:eastAsia="en-GB"/>
              </w:rPr>
              <w:t xml:space="preserve">MCI converters 15 </w:t>
            </w:r>
            <w:r w:rsidRPr="00D16865">
              <w:rPr>
                <w:rFonts w:eastAsia="Times New Roman" w:cs="Arial"/>
                <w:lang w:val="en-US" w:eastAsia="en-GB"/>
              </w:rPr>
              <w:t>women</w:t>
            </w:r>
            <w:r w:rsidR="009D74B7" w:rsidRPr="00D16865">
              <w:rPr>
                <w:rFonts w:eastAsia="Times New Roman" w:cs="Arial"/>
                <w:lang w:val="en-US" w:eastAsia="en-GB"/>
              </w:rPr>
              <w:t xml:space="preserve"> and 25</w:t>
            </w:r>
            <w:r w:rsidRPr="00D16865">
              <w:rPr>
                <w:rFonts w:eastAsia="Times New Roman" w:cs="Arial"/>
                <w:lang w:val="en-US" w:eastAsia="en-GB"/>
              </w:rPr>
              <w:t xml:space="preserve"> men</w:t>
            </w:r>
            <w:r w:rsidR="009D74B7" w:rsidRPr="00D16865">
              <w:rPr>
                <w:rFonts w:eastAsia="Times New Roman" w:cs="Arial"/>
                <w:lang w:val="en-US" w:eastAsia="en-GB"/>
              </w:rPr>
              <w:t xml:space="preserve">; MCI non-converters 9 women and 31 men  </w:t>
            </w:r>
          </w:p>
          <w:p w:rsidR="00D000FA" w:rsidRPr="00D16865" w:rsidRDefault="00D000FA" w:rsidP="009A3E78">
            <w:pPr>
              <w:spacing w:after="120"/>
              <w:contextualSpacing/>
              <w:rPr>
                <w:rFonts w:eastAsia="Times New Roman" w:cs="Arial"/>
                <w:lang w:val="en-US" w:eastAsia="en-GB"/>
              </w:rPr>
            </w:pPr>
            <w:r w:rsidRPr="00D16865">
              <w:rPr>
                <w:rFonts w:eastAsia="Times New Roman" w:cs="Arial"/>
                <w:u w:val="single"/>
                <w:lang w:val="en-US" w:eastAsia="en-GB"/>
              </w:rPr>
              <w:t>Age</w:t>
            </w:r>
            <w:r w:rsidR="009D74B7" w:rsidRPr="00D16865">
              <w:rPr>
                <w:rFonts w:eastAsia="Times New Roman" w:cs="Arial"/>
                <w:u w:val="single"/>
                <w:lang w:val="en-US" w:eastAsia="en-GB"/>
              </w:rPr>
              <w:t xml:space="preserve"> (y)</w:t>
            </w:r>
            <w:r w:rsidRPr="00D16865">
              <w:rPr>
                <w:rFonts w:eastAsia="Times New Roman" w:cs="Arial"/>
                <w:u w:val="single"/>
                <w:lang w:val="en-US" w:eastAsia="en-GB"/>
              </w:rPr>
              <w:t>:</w:t>
            </w:r>
            <w:r w:rsidRPr="00D16865">
              <w:rPr>
                <w:rFonts w:eastAsia="Times New Roman" w:cs="Arial"/>
                <w:lang w:val="en-US" w:eastAsia="en-GB"/>
              </w:rPr>
              <w:t xml:space="preserve"> MCI converters </w:t>
            </w:r>
            <w:r w:rsidR="00164962" w:rsidRPr="00D16865">
              <w:rPr>
                <w:rFonts w:eastAsia="Times New Roman" w:cs="Arial"/>
                <w:lang w:val="en-US" w:eastAsia="en-GB"/>
              </w:rPr>
              <w:t>76</w:t>
            </w:r>
            <w:r w:rsidRPr="00D16865">
              <w:rPr>
                <w:rFonts w:eastAsia="Times New Roman" w:cs="Arial"/>
                <w:lang w:val="en-US" w:eastAsia="en-GB"/>
              </w:rPr>
              <w:t>±</w:t>
            </w:r>
            <w:r w:rsidR="009D74B7" w:rsidRPr="00D16865">
              <w:rPr>
                <w:rFonts w:eastAsia="Times New Roman" w:cs="Arial"/>
                <w:lang w:val="en-US" w:eastAsia="en-GB"/>
              </w:rPr>
              <w:t>4.1</w:t>
            </w:r>
            <w:r w:rsidR="00164962" w:rsidRPr="00D16865">
              <w:rPr>
                <w:rFonts w:eastAsia="Times New Roman" w:cs="Arial"/>
                <w:lang w:val="en-US" w:eastAsia="en-GB"/>
              </w:rPr>
              <w:t xml:space="preserve"> (range 70.2-86</w:t>
            </w:r>
            <w:r w:rsidR="00A83D0A" w:rsidRPr="00D16865">
              <w:rPr>
                <w:rFonts w:eastAsia="Times New Roman" w:cs="Arial"/>
                <w:lang w:val="en-US" w:eastAsia="en-GB"/>
              </w:rPr>
              <w:t>)</w:t>
            </w:r>
            <w:r w:rsidRPr="00D16865">
              <w:rPr>
                <w:rFonts w:eastAsia="Times New Roman" w:cs="Arial"/>
                <w:lang w:val="en-US" w:eastAsia="en-GB"/>
              </w:rPr>
              <w:t xml:space="preserve">; non-MCI converters </w:t>
            </w:r>
            <w:r w:rsidR="00164962" w:rsidRPr="00D16865">
              <w:rPr>
                <w:rFonts w:eastAsia="Times New Roman" w:cs="Arial"/>
                <w:lang w:val="en-US" w:eastAsia="en-GB"/>
              </w:rPr>
              <w:t>76</w:t>
            </w:r>
            <w:r w:rsidRPr="00D16865">
              <w:rPr>
                <w:rFonts w:eastAsia="Times New Roman" w:cs="Arial"/>
                <w:lang w:val="en-US" w:eastAsia="en-GB"/>
              </w:rPr>
              <w:t>±</w:t>
            </w:r>
            <w:r w:rsidR="00164962" w:rsidRPr="00D16865">
              <w:rPr>
                <w:rFonts w:eastAsia="Times New Roman" w:cs="Arial"/>
                <w:lang w:val="en-US" w:eastAsia="en-GB"/>
              </w:rPr>
              <w:t>4.2 (range 70.2-86</w:t>
            </w:r>
            <w:r w:rsidR="00A83D0A" w:rsidRPr="00D16865">
              <w:rPr>
                <w:rFonts w:eastAsia="Times New Roman" w:cs="Arial"/>
                <w:lang w:val="en-US" w:eastAsia="en-GB"/>
              </w:rPr>
              <w:t>)</w:t>
            </w:r>
          </w:p>
          <w:p w:rsidR="00D000FA" w:rsidRPr="00D16865" w:rsidRDefault="00D000FA" w:rsidP="009A3E78">
            <w:pPr>
              <w:spacing w:after="120"/>
              <w:contextualSpacing/>
              <w:rPr>
                <w:rFonts w:eastAsia="Times New Roman" w:cs="Arial"/>
                <w:lang w:val="en-US" w:eastAsia="en-GB"/>
              </w:rPr>
            </w:pPr>
            <w:r w:rsidRPr="00D16865">
              <w:rPr>
                <w:rFonts w:eastAsia="Times New Roman" w:cs="Arial"/>
                <w:u w:val="single"/>
                <w:lang w:val="en-US" w:eastAsia="en-GB"/>
              </w:rPr>
              <w:t>APOE ε4 carrier:</w:t>
            </w:r>
            <w:r w:rsidRPr="00D16865">
              <w:rPr>
                <w:rFonts w:eastAsia="Times New Roman" w:cs="Arial"/>
                <w:lang w:val="en-US" w:eastAsia="en-GB"/>
              </w:rPr>
              <w:t xml:space="preserve"> </w:t>
            </w:r>
            <w:r w:rsidR="00A83D0A" w:rsidRPr="00D16865">
              <w:rPr>
                <w:rFonts w:eastAsia="Times New Roman" w:cs="Arial"/>
                <w:lang w:val="en-US" w:eastAsia="en-GB"/>
              </w:rPr>
              <w:t>not reported</w:t>
            </w:r>
          </w:p>
          <w:p w:rsidR="00D000FA" w:rsidRPr="00D16865" w:rsidRDefault="00D000FA" w:rsidP="009A3E78">
            <w:pPr>
              <w:spacing w:after="120"/>
              <w:contextualSpacing/>
              <w:rPr>
                <w:rFonts w:eastAsia="Times New Roman" w:cs="Arial"/>
                <w:lang w:val="en-US" w:eastAsia="en-GB"/>
              </w:rPr>
            </w:pPr>
            <w:r w:rsidRPr="00D16865">
              <w:rPr>
                <w:rFonts w:eastAsia="Times New Roman" w:cs="Arial"/>
                <w:u w:val="single"/>
                <w:lang w:val="en-US" w:eastAsia="en-GB"/>
              </w:rPr>
              <w:t>MMSE:</w:t>
            </w:r>
            <w:r w:rsidRPr="00D16865">
              <w:rPr>
                <w:rFonts w:eastAsia="Times New Roman" w:cs="Arial"/>
                <w:lang w:val="en-US" w:eastAsia="en-GB"/>
              </w:rPr>
              <w:t xml:space="preserve"> </w:t>
            </w:r>
            <w:r w:rsidR="00A83D0A" w:rsidRPr="00D16865">
              <w:rPr>
                <w:rFonts w:eastAsia="Times New Roman" w:cs="Arial"/>
                <w:lang w:val="en-US" w:eastAsia="en-GB"/>
              </w:rPr>
              <w:t>MCI converters 26.8±1.7; non-MCI converters 27.5±1.8</w:t>
            </w:r>
          </w:p>
          <w:p w:rsidR="00A83D0A" w:rsidRPr="00D16865" w:rsidRDefault="00D000FA" w:rsidP="009A3E78">
            <w:pPr>
              <w:spacing w:after="120"/>
              <w:contextualSpacing/>
              <w:rPr>
                <w:rFonts w:eastAsia="Times New Roman" w:cs="Arial"/>
                <w:lang w:val="en-US" w:eastAsia="en-GB"/>
              </w:rPr>
            </w:pPr>
            <w:r w:rsidRPr="00D16865">
              <w:rPr>
                <w:rFonts w:eastAsia="Times New Roman" w:cs="Arial"/>
                <w:u w:val="single"/>
                <w:lang w:val="en-US" w:eastAsia="en-GB"/>
              </w:rPr>
              <w:t>Education</w:t>
            </w:r>
            <w:r w:rsidR="00A83D0A" w:rsidRPr="00D16865">
              <w:rPr>
                <w:rFonts w:eastAsia="Times New Roman" w:cs="Arial"/>
                <w:u w:val="single"/>
                <w:lang w:val="en-US" w:eastAsia="en-GB"/>
              </w:rPr>
              <w:t xml:space="preserve"> (y)</w:t>
            </w:r>
            <w:r w:rsidRPr="00D16865">
              <w:rPr>
                <w:rFonts w:eastAsia="Times New Roman" w:cs="Arial"/>
                <w:u w:val="single"/>
                <w:lang w:val="en-US" w:eastAsia="en-GB"/>
              </w:rPr>
              <w:t>:</w:t>
            </w:r>
            <w:r w:rsidR="00A83D0A" w:rsidRPr="00D16865">
              <w:rPr>
                <w:rFonts w:eastAsia="Times New Roman" w:cs="Arial"/>
                <w:u w:val="single"/>
                <w:lang w:val="en-US" w:eastAsia="en-GB"/>
              </w:rPr>
              <w:t xml:space="preserve"> </w:t>
            </w:r>
            <w:r w:rsidR="00A83D0A" w:rsidRPr="00D16865">
              <w:rPr>
                <w:rFonts w:eastAsia="Times New Roman" w:cs="Arial"/>
                <w:lang w:val="en-US" w:eastAsia="en-GB"/>
              </w:rPr>
              <w:t>MCI converters 16.4±2.5; non-MCI converters 14.9±3.2</w:t>
            </w:r>
          </w:p>
          <w:p w:rsidR="00D000FA" w:rsidRPr="00D16865" w:rsidRDefault="00D000FA" w:rsidP="009A3E78">
            <w:pPr>
              <w:spacing w:after="120"/>
              <w:contextualSpacing/>
              <w:rPr>
                <w:rFonts w:eastAsia="Times New Roman" w:cs="Arial"/>
                <w:lang w:val="en-US" w:eastAsia="en-GB"/>
              </w:rPr>
            </w:pPr>
            <w:r w:rsidRPr="00D16865">
              <w:rPr>
                <w:rFonts w:eastAsia="Times New Roman" w:cs="Arial"/>
                <w:u w:val="single"/>
                <w:lang w:val="en-US" w:eastAsia="en-GB"/>
              </w:rPr>
              <w:t>Sources of referral:</w:t>
            </w:r>
            <w:r w:rsidRPr="00D16865">
              <w:rPr>
                <w:rFonts w:eastAsia="Times New Roman" w:cs="Arial"/>
                <w:lang w:val="en-US" w:eastAsia="en-GB"/>
              </w:rPr>
              <w:t xml:space="preserve"> not reported</w:t>
            </w:r>
          </w:p>
          <w:p w:rsidR="00D000FA" w:rsidRPr="00D16865" w:rsidRDefault="00D000FA" w:rsidP="000D2B3F">
            <w:pPr>
              <w:spacing w:after="120"/>
              <w:contextualSpacing/>
              <w:rPr>
                <w:rFonts w:eastAsia="Times New Roman" w:cs="Arial"/>
                <w:lang w:val="en-US" w:eastAsia="en-GB"/>
              </w:rPr>
            </w:pPr>
            <w:r w:rsidRPr="00D16865">
              <w:rPr>
                <w:rFonts w:eastAsia="Times New Roman" w:cs="Arial"/>
                <w:u w:val="single"/>
                <w:lang w:val="en-US" w:eastAsia="en-GB"/>
              </w:rPr>
              <w:t>Setting:</w:t>
            </w:r>
            <w:r w:rsidRPr="00D16865">
              <w:rPr>
                <w:rFonts w:eastAsia="Times New Roman" w:cs="Arial"/>
                <w:lang w:val="en-US" w:eastAsia="en-GB"/>
              </w:rPr>
              <w:t xml:space="preserve"> </w:t>
            </w:r>
            <w:r w:rsidR="004C661D" w:rsidRPr="00D16865">
              <w:rPr>
                <w:rFonts w:eastAsia="Times New Roman" w:cs="Arial"/>
                <w:lang w:val="en-US" w:eastAsia="en-GB"/>
              </w:rPr>
              <w:t>multicenter</w:t>
            </w:r>
          </w:p>
        </w:tc>
      </w:tr>
      <w:tr w:rsidR="00D000FA" w:rsidRPr="00D16865" w:rsidTr="0031616E">
        <w:tc>
          <w:tcPr>
            <w:tcW w:w="2771" w:type="dxa"/>
          </w:tcPr>
          <w:p w:rsidR="00D000FA" w:rsidRPr="00D16865" w:rsidRDefault="00D000FA" w:rsidP="009A3E78">
            <w:pPr>
              <w:contextualSpacing/>
              <w:rPr>
                <w:b/>
                <w:lang w:val="en-US"/>
              </w:rPr>
            </w:pPr>
            <w:r w:rsidRPr="00D16865">
              <w:rPr>
                <w:b/>
                <w:lang w:val="en-US"/>
              </w:rPr>
              <w:t>Index test</w:t>
            </w:r>
          </w:p>
        </w:tc>
        <w:tc>
          <w:tcPr>
            <w:tcW w:w="11177" w:type="dxa"/>
          </w:tcPr>
          <w:p w:rsidR="00D000FA" w:rsidRPr="00D16865" w:rsidRDefault="000E4643" w:rsidP="009A3E78">
            <w:pPr>
              <w:autoSpaceDE w:val="0"/>
              <w:autoSpaceDN w:val="0"/>
              <w:adjustRightInd w:val="0"/>
              <w:contextualSpacing/>
              <w:rPr>
                <w:rFonts w:cs="Times-Roman"/>
                <w:lang w:val="en-US"/>
              </w:rPr>
            </w:pPr>
            <w:r w:rsidRPr="00D16865">
              <w:rPr>
                <w:lang w:val="en-US"/>
              </w:rPr>
              <w:t xml:space="preserve"> </w:t>
            </w:r>
            <w:r w:rsidR="00D000FA" w:rsidRPr="00D16865">
              <w:rPr>
                <w:vertAlign w:val="superscript"/>
                <w:lang w:val="en-US"/>
              </w:rPr>
              <w:t>18</w:t>
            </w:r>
            <w:r w:rsidRPr="00D16865">
              <w:rPr>
                <w:lang w:val="en-US"/>
              </w:rPr>
              <w:t>F-</w:t>
            </w:r>
            <w:r w:rsidR="00D000FA" w:rsidRPr="00D16865">
              <w:rPr>
                <w:lang w:val="en-US"/>
              </w:rPr>
              <w:t>FDG PET</w:t>
            </w:r>
            <w:r w:rsidR="00D000FA" w:rsidRPr="00D16865">
              <w:rPr>
                <w:rFonts w:cs="Times-Roman"/>
                <w:lang w:val="en-US"/>
              </w:rPr>
              <w:t xml:space="preserve"> scan</w:t>
            </w:r>
          </w:p>
          <w:p w:rsidR="000D2B3F" w:rsidRPr="00D16865" w:rsidRDefault="000D2B3F" w:rsidP="00AE0074">
            <w:pPr>
              <w:autoSpaceDE w:val="0"/>
              <w:autoSpaceDN w:val="0"/>
              <w:adjustRightInd w:val="0"/>
              <w:contextualSpacing/>
              <w:rPr>
                <w:i/>
                <w:u w:val="single"/>
                <w:lang w:val="en-US"/>
              </w:rPr>
            </w:pPr>
            <w:r w:rsidRPr="00D16865">
              <w:rPr>
                <w:i/>
                <w:u w:val="single"/>
                <w:lang w:val="en-US"/>
              </w:rPr>
              <w:t>Acquisition</w:t>
            </w:r>
          </w:p>
          <w:p w:rsidR="000D2B3F" w:rsidRPr="00D16865" w:rsidRDefault="000D2B3F" w:rsidP="00AE0074">
            <w:pPr>
              <w:autoSpaceDE w:val="0"/>
              <w:autoSpaceDN w:val="0"/>
              <w:adjustRightInd w:val="0"/>
              <w:contextualSpacing/>
              <w:rPr>
                <w:lang w:val="en-US"/>
              </w:rPr>
            </w:pPr>
            <w:r w:rsidRPr="00D16865">
              <w:rPr>
                <w:lang w:val="en-US"/>
              </w:rPr>
              <w:t xml:space="preserve">All baseline PET scans were acquired according to one of three different </w:t>
            </w:r>
            <w:r w:rsidR="00D16865" w:rsidRPr="00D16865">
              <w:rPr>
                <w:lang w:val="en-US"/>
              </w:rPr>
              <w:t>standardized</w:t>
            </w:r>
            <w:r w:rsidRPr="00D16865">
              <w:rPr>
                <w:lang w:val="en-US"/>
              </w:rPr>
              <w:t xml:space="preserve"> protocols: 1) dynamic 30-min, six frame (5 min each) acquisitions starting 30 min post </w:t>
            </w:r>
            <w:r w:rsidRPr="00D16865">
              <w:rPr>
                <w:vertAlign w:val="superscript"/>
                <w:lang w:val="en-US"/>
              </w:rPr>
              <w:t>18</w:t>
            </w:r>
            <w:r w:rsidRPr="00D16865">
              <w:rPr>
                <w:lang w:val="en-US"/>
              </w:rPr>
              <w:t>F-FDG injection, 2) quantitative 60-min dynamic protocol with continuous scanning from injection time to calculate absolute glucose metabolic rate using an arterial input function measured in the carotid, and 3) a single-frame 30-min acquisition starting 30 min post-injection for scanners without dynamic capability.</w:t>
            </w:r>
          </w:p>
          <w:p w:rsidR="000D2B3F" w:rsidRPr="00D16865" w:rsidRDefault="000D2B3F" w:rsidP="00AE0074">
            <w:pPr>
              <w:autoSpaceDE w:val="0"/>
              <w:autoSpaceDN w:val="0"/>
              <w:adjustRightInd w:val="0"/>
              <w:contextualSpacing/>
              <w:rPr>
                <w:i/>
                <w:u w:val="single"/>
                <w:lang w:val="en-US"/>
              </w:rPr>
            </w:pPr>
            <w:r w:rsidRPr="00D16865">
              <w:rPr>
                <w:i/>
                <w:u w:val="single"/>
                <w:lang w:val="en-US"/>
              </w:rPr>
              <w:t>Data analysis</w:t>
            </w:r>
          </w:p>
          <w:p w:rsidR="001065E3" w:rsidRPr="00D16865" w:rsidRDefault="001065E3" w:rsidP="001065E3">
            <w:pPr>
              <w:autoSpaceDE w:val="0"/>
              <w:autoSpaceDN w:val="0"/>
              <w:adjustRightInd w:val="0"/>
              <w:rPr>
                <w:rFonts w:cs="AdvTT5235d5a9"/>
                <w:color w:val="000000"/>
                <w:lang w:val="en-US"/>
              </w:rPr>
            </w:pPr>
            <w:r w:rsidRPr="00D16865">
              <w:rPr>
                <w:rFonts w:cs="AdvTT5235d5a9"/>
                <w:color w:val="000000"/>
                <w:lang w:val="en-US"/>
              </w:rPr>
              <w:t xml:space="preserve">Spatial </w:t>
            </w:r>
            <w:r w:rsidR="00D16865" w:rsidRPr="00D16865">
              <w:rPr>
                <w:rFonts w:cs="AdvTT5235d5a9"/>
                <w:color w:val="000000"/>
                <w:lang w:val="en-US"/>
              </w:rPr>
              <w:t>normalization</w:t>
            </w:r>
            <w:r w:rsidRPr="00D16865">
              <w:rPr>
                <w:rFonts w:cs="AdvTT5235d5a9"/>
                <w:color w:val="000000"/>
                <w:lang w:val="en-US"/>
              </w:rPr>
              <w:t xml:space="preserve"> of all images involved a 12-parameter af</w:t>
            </w:r>
            <w:r w:rsidRPr="00D16865">
              <w:rPr>
                <w:rFonts w:cs="AdvTT5235d5a9+fb"/>
                <w:color w:val="000000"/>
                <w:lang w:val="en-US"/>
              </w:rPr>
              <w:t>fi</w:t>
            </w:r>
            <w:r w:rsidRPr="00D16865">
              <w:rPr>
                <w:rFonts w:cs="AdvTT5235d5a9"/>
                <w:color w:val="000000"/>
                <w:lang w:val="en-US"/>
              </w:rPr>
              <w:t>ne transformation, followed by nonlinear iterative spatial transformation as provided in SPM5 software package (</w:t>
            </w:r>
            <w:r w:rsidRPr="00D16865">
              <w:rPr>
                <w:rStyle w:val="Hyperlink"/>
                <w:rFonts w:cs="AdvTT5235d5a9"/>
                <w:color w:val="000000" w:themeColor="text1"/>
                <w:u w:val="none"/>
                <w:lang w:val="en-US"/>
              </w:rPr>
              <w:t>http://www.</w:t>
            </w:r>
            <w:r w:rsidRPr="00D16865">
              <w:rPr>
                <w:rStyle w:val="Hyperlink"/>
                <w:rFonts w:cs="AdvTT5235d5a9+fb"/>
                <w:color w:val="000000" w:themeColor="text1"/>
                <w:u w:val="none"/>
                <w:lang w:val="en-US"/>
              </w:rPr>
              <w:t>fi</w:t>
            </w:r>
            <w:r w:rsidRPr="00D16865">
              <w:rPr>
                <w:rStyle w:val="Hyperlink"/>
                <w:rFonts w:cs="AdvTT5235d5a9"/>
                <w:color w:val="000000" w:themeColor="text1"/>
                <w:u w:val="none"/>
                <w:lang w:val="en-US"/>
              </w:rPr>
              <w:t>l.ion.ucl.ac.uk/spm/</w:t>
            </w:r>
            <w:r w:rsidRPr="00D16865">
              <w:rPr>
                <w:rFonts w:cs="AdvTT5235d5a9"/>
                <w:color w:val="000000" w:themeColor="text1"/>
                <w:lang w:val="en-US"/>
              </w:rPr>
              <w:t xml:space="preserve">). </w:t>
            </w:r>
            <w:r w:rsidRPr="00D16865">
              <w:rPr>
                <w:rFonts w:cs="AdvTT5235d5a9"/>
                <w:lang w:val="en-US"/>
              </w:rPr>
              <w:t xml:space="preserve">voxel-wise </w:t>
            </w:r>
            <w:r w:rsidRPr="00D16865">
              <w:rPr>
                <w:rFonts w:cs="AdvTT94c8263f.I"/>
                <w:lang w:val="en-US"/>
              </w:rPr>
              <w:t xml:space="preserve">t </w:t>
            </w:r>
            <w:r w:rsidRPr="00D16865">
              <w:rPr>
                <w:rFonts w:cs="AdvTT5235d5a9"/>
                <w:lang w:val="en-US"/>
              </w:rPr>
              <w:t>statistics for between group comparisons were compute using procedures in SPM5</w:t>
            </w:r>
          </w:p>
          <w:p w:rsidR="00D000FA" w:rsidRPr="00D16865" w:rsidRDefault="00D000FA" w:rsidP="009A3E78">
            <w:pPr>
              <w:contextualSpacing/>
              <w:rPr>
                <w:u w:val="single"/>
                <w:lang w:val="en-US"/>
              </w:rPr>
            </w:pPr>
            <w:r w:rsidRPr="00D16865">
              <w:rPr>
                <w:u w:val="single"/>
                <w:lang w:val="en-US"/>
              </w:rPr>
              <w:t>Threshold:</w:t>
            </w:r>
          </w:p>
          <w:p w:rsidR="00B66618" w:rsidRPr="00D16865" w:rsidRDefault="00A83D0A" w:rsidP="00AE0074">
            <w:pPr>
              <w:contextualSpacing/>
              <w:rPr>
                <w:lang w:val="en-US"/>
              </w:rPr>
            </w:pPr>
            <w:r w:rsidRPr="00D16865">
              <w:rPr>
                <w:lang w:val="en-US"/>
              </w:rPr>
              <w:t>Visual interpretation using</w:t>
            </w:r>
            <w:r w:rsidRPr="00D16865">
              <w:rPr>
                <w:lang w:val="en-US"/>
              </w:rPr>
              <w:softHyphen/>
              <w:t xml:space="preserve"> </w:t>
            </w:r>
            <w:r w:rsidR="000D2B3F" w:rsidRPr="00D16865">
              <w:rPr>
                <w:lang w:val="en-US"/>
              </w:rPr>
              <w:t xml:space="preserve">SPM </w:t>
            </w:r>
            <w:r w:rsidRPr="00D16865">
              <w:rPr>
                <w:lang w:val="en-US"/>
              </w:rPr>
              <w:t>t-map; selected region: parietal left, temporal left</w:t>
            </w:r>
            <w:r w:rsidR="001065E3" w:rsidRPr="00D16865">
              <w:rPr>
                <w:lang w:val="en-US"/>
              </w:rPr>
              <w:t>/right and par-hippocampal left</w:t>
            </w:r>
          </w:p>
        </w:tc>
      </w:tr>
      <w:tr w:rsidR="00D000FA" w:rsidRPr="00D16865" w:rsidTr="0031616E">
        <w:tc>
          <w:tcPr>
            <w:tcW w:w="2771" w:type="dxa"/>
          </w:tcPr>
          <w:p w:rsidR="00D000FA" w:rsidRPr="00D16865" w:rsidRDefault="00D000FA" w:rsidP="009A3E78">
            <w:pPr>
              <w:contextualSpacing/>
              <w:rPr>
                <w:b/>
                <w:lang w:val="en-US"/>
              </w:rPr>
            </w:pPr>
            <w:r w:rsidRPr="00D16865">
              <w:rPr>
                <w:b/>
                <w:lang w:val="en-US"/>
              </w:rPr>
              <w:t>Target condition</w:t>
            </w:r>
          </w:p>
        </w:tc>
        <w:tc>
          <w:tcPr>
            <w:tcW w:w="11177" w:type="dxa"/>
          </w:tcPr>
          <w:p w:rsidR="00D000FA" w:rsidRPr="00D16865" w:rsidRDefault="00D000FA" w:rsidP="009A3E78">
            <w:pPr>
              <w:contextualSpacing/>
              <w:rPr>
                <w:lang w:val="en-US"/>
              </w:rPr>
            </w:pPr>
            <w:r w:rsidRPr="00D16865">
              <w:rPr>
                <w:u w:val="single"/>
                <w:lang w:val="en-US"/>
              </w:rPr>
              <w:t>Target condition</w:t>
            </w:r>
            <w:r w:rsidRPr="00D16865">
              <w:rPr>
                <w:lang w:val="en-US"/>
              </w:rPr>
              <w:t>: conversion from MCI to Alzheimer’s disease dementia</w:t>
            </w:r>
          </w:p>
          <w:p w:rsidR="00D000FA" w:rsidRPr="00D16865" w:rsidRDefault="00D000FA" w:rsidP="009A3E78">
            <w:pPr>
              <w:contextualSpacing/>
              <w:rPr>
                <w:lang w:val="en-US"/>
              </w:rPr>
            </w:pPr>
            <w:r w:rsidRPr="00D16865">
              <w:rPr>
                <w:u w:val="single"/>
                <w:lang w:val="en-US"/>
              </w:rPr>
              <w:t>Reference standard</w:t>
            </w:r>
            <w:r w:rsidRPr="00D16865">
              <w:rPr>
                <w:lang w:val="en-US"/>
              </w:rPr>
              <w:t xml:space="preserve">: </w:t>
            </w:r>
            <w:r w:rsidRPr="00D16865">
              <w:rPr>
                <w:rFonts w:eastAsia="Times New Roman" w:cs="Arial"/>
                <w:lang w:val="en-US" w:eastAsia="en-GB"/>
              </w:rPr>
              <w:t xml:space="preserve">NINCDS-ADRDA </w:t>
            </w:r>
          </w:p>
        </w:tc>
      </w:tr>
      <w:tr w:rsidR="00D000FA" w:rsidRPr="00D16865" w:rsidTr="0031616E">
        <w:tc>
          <w:tcPr>
            <w:tcW w:w="2771" w:type="dxa"/>
          </w:tcPr>
          <w:p w:rsidR="00D000FA" w:rsidRPr="00D16865" w:rsidRDefault="00D000FA" w:rsidP="009A3E78">
            <w:pPr>
              <w:contextualSpacing/>
              <w:rPr>
                <w:b/>
                <w:lang w:val="en-US"/>
              </w:rPr>
            </w:pPr>
            <w:r w:rsidRPr="00D16865">
              <w:rPr>
                <w:b/>
                <w:lang w:val="en-US"/>
              </w:rPr>
              <w:t>Flow and timing</w:t>
            </w:r>
          </w:p>
        </w:tc>
        <w:tc>
          <w:tcPr>
            <w:tcW w:w="11177" w:type="dxa"/>
          </w:tcPr>
          <w:p w:rsidR="00D000FA" w:rsidRPr="00D16865" w:rsidRDefault="00D000FA" w:rsidP="009A3E78">
            <w:pPr>
              <w:spacing w:after="120"/>
              <w:contextualSpacing/>
              <w:rPr>
                <w:rFonts w:eastAsia="Times New Roman" w:cs="Arial"/>
                <w:lang w:val="en-US" w:eastAsia="en-GB"/>
              </w:rPr>
            </w:pPr>
            <w:r w:rsidRPr="00D16865">
              <w:rPr>
                <w:rFonts w:eastAsia="Times New Roman" w:cs="Arial"/>
                <w:lang w:val="en-US" w:eastAsia="en-GB"/>
              </w:rPr>
              <w:t xml:space="preserve">Duration of follow-up: </w:t>
            </w:r>
            <w:r w:rsidR="00B174E0" w:rsidRPr="00D16865">
              <w:rPr>
                <w:rFonts w:eastAsia="Times New Roman" w:cs="Arial"/>
                <w:lang w:val="en-US" w:eastAsia="en-GB"/>
              </w:rPr>
              <w:t>18 months</w:t>
            </w:r>
          </w:p>
          <w:p w:rsidR="00D000FA" w:rsidRPr="00D16865" w:rsidRDefault="00D000FA" w:rsidP="009A3E78">
            <w:pPr>
              <w:autoSpaceDE w:val="0"/>
              <w:autoSpaceDN w:val="0"/>
              <w:adjustRightInd w:val="0"/>
              <w:contextualSpacing/>
              <w:rPr>
                <w:rFonts w:eastAsia="Times New Roman" w:cs="Arial"/>
                <w:u w:val="single"/>
                <w:lang w:val="en-US" w:eastAsia="en-GB"/>
              </w:rPr>
            </w:pPr>
            <w:r w:rsidRPr="00D16865">
              <w:rPr>
                <w:rFonts w:eastAsia="Times New Roman" w:cs="Arial"/>
                <w:u w:val="single"/>
                <w:lang w:val="en-US" w:eastAsia="en-GB"/>
              </w:rPr>
              <w:t>Number included in analysis (N=</w:t>
            </w:r>
            <w:r w:rsidR="00B174E0" w:rsidRPr="00D16865">
              <w:rPr>
                <w:rFonts w:eastAsia="Times New Roman" w:cs="Arial"/>
                <w:u w:val="single"/>
                <w:lang w:val="en-US" w:eastAsia="en-GB"/>
              </w:rPr>
              <w:t>80</w:t>
            </w:r>
            <w:r w:rsidRPr="00D16865">
              <w:rPr>
                <w:rFonts w:eastAsia="Times New Roman" w:cs="Arial"/>
                <w:u w:val="single"/>
                <w:lang w:val="en-US" w:eastAsia="en-GB"/>
              </w:rPr>
              <w:t>)</w:t>
            </w:r>
          </w:p>
          <w:p w:rsidR="00D000FA" w:rsidRPr="00D16865" w:rsidRDefault="00D000FA" w:rsidP="009A3E78">
            <w:pPr>
              <w:autoSpaceDE w:val="0"/>
              <w:autoSpaceDN w:val="0"/>
              <w:adjustRightInd w:val="0"/>
              <w:contextualSpacing/>
              <w:rPr>
                <w:rFonts w:cs="AdvTT3713a231"/>
                <w:color w:val="131413"/>
                <w:lang w:val="en-US"/>
              </w:rPr>
            </w:pPr>
            <w:r w:rsidRPr="00D16865">
              <w:rPr>
                <w:rFonts w:eastAsia="Times New Roman" w:cs="Arial"/>
                <w:lang w:val="en-US" w:eastAsia="en-GB"/>
              </w:rPr>
              <w:t xml:space="preserve">At follow-up: </w:t>
            </w:r>
            <w:r w:rsidR="00B174E0" w:rsidRPr="00D16865">
              <w:rPr>
                <w:rFonts w:eastAsia="Times New Roman" w:cs="Arial"/>
                <w:lang w:val="en-US" w:eastAsia="en-GB"/>
              </w:rPr>
              <w:t xml:space="preserve">40 </w:t>
            </w:r>
            <w:r w:rsidRPr="00D16865">
              <w:rPr>
                <w:rFonts w:eastAsia="Times New Roman" w:cs="Arial"/>
                <w:lang w:val="en-US" w:eastAsia="en-GB"/>
              </w:rPr>
              <w:t xml:space="preserve">MCI-AD (disease positive); </w:t>
            </w:r>
            <w:r w:rsidR="00B174E0" w:rsidRPr="00D16865">
              <w:rPr>
                <w:rFonts w:eastAsia="Times New Roman" w:cs="Arial"/>
                <w:lang w:val="en-US" w:eastAsia="en-GB"/>
              </w:rPr>
              <w:t xml:space="preserve">40 </w:t>
            </w:r>
            <w:r w:rsidRPr="00D16865">
              <w:rPr>
                <w:rFonts w:eastAsia="Times New Roman" w:cs="Arial"/>
                <w:lang w:val="en-US" w:eastAsia="en-GB"/>
              </w:rPr>
              <w:t>MCI-MCI (disease negative</w:t>
            </w:r>
          </w:p>
          <w:p w:rsidR="00D000FA" w:rsidRPr="00D16865" w:rsidRDefault="00D000FA" w:rsidP="009A3E78">
            <w:pPr>
              <w:autoSpaceDE w:val="0"/>
              <w:autoSpaceDN w:val="0"/>
              <w:adjustRightInd w:val="0"/>
              <w:contextualSpacing/>
              <w:rPr>
                <w:rFonts w:cs="AdvTT3713a231"/>
                <w:color w:val="131413"/>
                <w:lang w:val="en-US"/>
              </w:rPr>
            </w:pPr>
            <w:r w:rsidRPr="00D16865">
              <w:rPr>
                <w:rFonts w:cs="AdvTT3713a231"/>
                <w:color w:val="131413"/>
                <w:lang w:val="en-US"/>
              </w:rPr>
              <w:t>Conversion from MCI to ADD</w:t>
            </w:r>
          </w:p>
          <w:p w:rsidR="00D000FA" w:rsidRPr="00D16865" w:rsidRDefault="00D000FA" w:rsidP="009A3E78">
            <w:pPr>
              <w:autoSpaceDE w:val="0"/>
              <w:autoSpaceDN w:val="0"/>
              <w:adjustRightInd w:val="0"/>
              <w:contextualSpacing/>
              <w:rPr>
                <w:rFonts w:cs="AdvTT3713a231"/>
                <w:color w:val="131413"/>
                <w:lang w:val="en-US"/>
              </w:rPr>
            </w:pPr>
            <w:r w:rsidRPr="00D16865">
              <w:rPr>
                <w:rFonts w:cs="AdvTT3713a231"/>
                <w:color w:val="131413"/>
                <w:lang w:val="en-US"/>
              </w:rPr>
              <w:lastRenderedPageBreak/>
              <w:t>Sensitivity=</w:t>
            </w:r>
            <w:r w:rsidR="00B174E0" w:rsidRPr="00D16865">
              <w:rPr>
                <w:rFonts w:cs="AdvTT3713a231"/>
                <w:color w:val="131413"/>
                <w:lang w:val="en-US"/>
              </w:rPr>
              <w:t>85</w:t>
            </w:r>
            <w:r w:rsidRPr="00D16865">
              <w:rPr>
                <w:rFonts w:cs="AdvTT3713a231"/>
                <w:color w:val="131413"/>
                <w:lang w:val="en-US"/>
              </w:rPr>
              <w:t>%; specificity=</w:t>
            </w:r>
            <w:r w:rsidR="00B174E0" w:rsidRPr="00D16865">
              <w:rPr>
                <w:rFonts w:cs="AdvTT3713a231"/>
                <w:color w:val="131413"/>
                <w:lang w:val="en-US"/>
              </w:rPr>
              <w:t>75</w:t>
            </w:r>
            <w:r w:rsidRPr="00D16865">
              <w:rPr>
                <w:rFonts w:cs="AdvTT3713a231"/>
                <w:color w:val="131413"/>
                <w:lang w:val="en-US"/>
              </w:rPr>
              <w:t>%</w:t>
            </w:r>
            <w:r w:rsidR="00B174E0" w:rsidRPr="00D16865">
              <w:rPr>
                <w:rFonts w:cs="AdvTT3713a231"/>
                <w:color w:val="131413"/>
                <w:lang w:val="en-US"/>
              </w:rPr>
              <w:t xml:space="preserve"> </w:t>
            </w:r>
            <w:r w:rsidR="000E4643" w:rsidRPr="00D16865">
              <w:rPr>
                <w:rFonts w:cs="AdvTT3713a231"/>
                <w:color w:val="131413"/>
                <w:lang w:val="en-US"/>
              </w:rPr>
              <w:t xml:space="preserve">for </w:t>
            </w:r>
            <w:r w:rsidR="000E4643" w:rsidRPr="00D16865">
              <w:rPr>
                <w:vertAlign w:val="superscript"/>
                <w:lang w:val="en-US"/>
              </w:rPr>
              <w:t>18</w:t>
            </w:r>
            <w:r w:rsidR="000E4643" w:rsidRPr="00D16865">
              <w:rPr>
                <w:lang w:val="en-US"/>
              </w:rPr>
              <w:t>F-FDG PET</w:t>
            </w:r>
            <w:r w:rsidR="000E4643" w:rsidRPr="00D16865">
              <w:rPr>
                <w:rFonts w:cs="Times-Roman"/>
                <w:lang w:val="en-US"/>
              </w:rPr>
              <w:t xml:space="preserve"> alone </w:t>
            </w:r>
            <w:r w:rsidR="00B174E0" w:rsidRPr="00D16865">
              <w:rPr>
                <w:rFonts w:cs="AdvTT3713a231"/>
                <w:color w:val="131413"/>
                <w:lang w:val="en-US"/>
              </w:rPr>
              <w:t>(Table 3, p944)</w:t>
            </w:r>
          </w:p>
          <w:p w:rsidR="00AE0074" w:rsidRPr="00D16865" w:rsidRDefault="00D000FA" w:rsidP="00B66618">
            <w:pPr>
              <w:autoSpaceDE w:val="0"/>
              <w:autoSpaceDN w:val="0"/>
              <w:adjustRightInd w:val="0"/>
              <w:contextualSpacing/>
              <w:rPr>
                <w:rFonts w:cs="Arial"/>
                <w:lang w:val="en-US"/>
              </w:rPr>
            </w:pPr>
            <w:r w:rsidRPr="00D16865">
              <w:rPr>
                <w:rFonts w:cs="Arial"/>
                <w:lang w:val="en-US"/>
              </w:rPr>
              <w:t>TP=</w:t>
            </w:r>
            <w:r w:rsidR="00A81BEA" w:rsidRPr="00D16865">
              <w:rPr>
                <w:rFonts w:cs="Arial"/>
                <w:lang w:val="en-US"/>
              </w:rPr>
              <w:t>34</w:t>
            </w:r>
            <w:r w:rsidRPr="00D16865">
              <w:rPr>
                <w:rFonts w:cs="Arial"/>
                <w:lang w:val="en-US"/>
              </w:rPr>
              <w:t>; FP=</w:t>
            </w:r>
            <w:r w:rsidR="00A81BEA" w:rsidRPr="00D16865">
              <w:rPr>
                <w:rFonts w:cs="Arial"/>
                <w:lang w:val="en-US"/>
              </w:rPr>
              <w:t>10</w:t>
            </w:r>
            <w:r w:rsidRPr="00D16865">
              <w:rPr>
                <w:rFonts w:cs="Arial"/>
                <w:lang w:val="en-US"/>
              </w:rPr>
              <w:t>; FN=</w:t>
            </w:r>
            <w:r w:rsidR="00A81BEA" w:rsidRPr="00D16865">
              <w:rPr>
                <w:rFonts w:cs="Arial"/>
                <w:lang w:val="en-US"/>
              </w:rPr>
              <w:t>6</w:t>
            </w:r>
            <w:r w:rsidRPr="00D16865">
              <w:rPr>
                <w:rFonts w:cs="Arial"/>
                <w:lang w:val="en-US"/>
              </w:rPr>
              <w:t>; TN=</w:t>
            </w:r>
            <w:r w:rsidR="00A81BEA" w:rsidRPr="00D16865">
              <w:rPr>
                <w:rFonts w:cs="Arial"/>
                <w:lang w:val="en-US"/>
              </w:rPr>
              <w:t>30; PPV=77%; NPV=83%</w:t>
            </w:r>
            <w:r w:rsidRPr="00D16865">
              <w:rPr>
                <w:rFonts w:cs="Arial"/>
                <w:lang w:val="en-US"/>
              </w:rPr>
              <w:t xml:space="preserve"> (Calculated in Revman5</w:t>
            </w:r>
            <w:r w:rsidR="001065E3" w:rsidRPr="00D16865">
              <w:rPr>
                <w:rFonts w:cs="Arial"/>
                <w:lang w:val="en-US"/>
              </w:rPr>
              <w:t>)</w:t>
            </w:r>
          </w:p>
        </w:tc>
      </w:tr>
      <w:tr w:rsidR="000E3D6A" w:rsidRPr="00D16865" w:rsidTr="0031616E">
        <w:tc>
          <w:tcPr>
            <w:tcW w:w="13948" w:type="dxa"/>
            <w:gridSpan w:val="2"/>
          </w:tcPr>
          <w:p w:rsidR="000E3D6A" w:rsidRPr="00D16865" w:rsidRDefault="000E3D6A" w:rsidP="009A3E78">
            <w:pPr>
              <w:contextualSpacing/>
              <w:rPr>
                <w:b/>
                <w:lang w:val="en-US"/>
              </w:rPr>
            </w:pPr>
            <w:r w:rsidRPr="00D16865">
              <w:rPr>
                <w:b/>
                <w:lang w:val="en-US"/>
              </w:rPr>
              <w:lastRenderedPageBreak/>
              <w:t>Note</w:t>
            </w:r>
            <w:r w:rsidR="00284F24" w:rsidRPr="00D16865">
              <w:rPr>
                <w:b/>
                <w:lang w:val="en-US"/>
              </w:rPr>
              <w:t>s</w:t>
            </w:r>
          </w:p>
          <w:p w:rsidR="001065E3" w:rsidRPr="00D16865" w:rsidRDefault="001065E3" w:rsidP="001065E3">
            <w:pPr>
              <w:contextualSpacing/>
              <w:rPr>
                <w:lang w:val="en-US"/>
              </w:rPr>
            </w:pPr>
            <w:r w:rsidRPr="00D16865">
              <w:rPr>
                <w:lang w:val="en-US"/>
              </w:rPr>
              <w:t xml:space="preserve">The author </w:t>
            </w:r>
            <w:proofErr w:type="gramStart"/>
            <w:r w:rsidRPr="00D16865">
              <w:rPr>
                <w:lang w:val="en-US"/>
              </w:rPr>
              <w:t>contacted, and</w:t>
            </w:r>
            <w:proofErr w:type="gramEnd"/>
            <w:r w:rsidRPr="00D16865">
              <w:rPr>
                <w:lang w:val="en-US"/>
              </w:rPr>
              <w:t xml:space="preserve"> confirmed that the information in Table 3 </w:t>
            </w:r>
            <w:r w:rsidRPr="00D16865">
              <w:rPr>
                <w:rFonts w:cs="AdvTT3713a231"/>
                <w:color w:val="131413"/>
                <w:lang w:val="en-US"/>
              </w:rPr>
              <w:t>(sensitivity=85%; specificity=75%</w:t>
            </w:r>
            <w:r w:rsidRPr="00D16865">
              <w:rPr>
                <w:lang w:val="en-US"/>
              </w:rPr>
              <w:t>), p944 relates to 80 MCI; they also stated that they applied a quantitative analytical approach. (Dr Toussaint’s email on 12/3/2016)</w:t>
            </w:r>
          </w:p>
          <w:p w:rsidR="0045392B" w:rsidRPr="00D16865" w:rsidRDefault="005D0045" w:rsidP="0045392B">
            <w:pPr>
              <w:autoSpaceDE w:val="0"/>
              <w:autoSpaceDN w:val="0"/>
              <w:adjustRightInd w:val="0"/>
              <w:rPr>
                <w:rFonts w:cs="AdvTT5235d5a9"/>
                <w:lang w:val="en-US"/>
              </w:rPr>
            </w:pPr>
            <w:r w:rsidRPr="00D16865">
              <w:rPr>
                <w:b/>
                <w:lang w:val="en-US"/>
              </w:rPr>
              <w:t xml:space="preserve">Objective: </w:t>
            </w:r>
            <w:r w:rsidR="0045392B" w:rsidRPr="00D16865">
              <w:rPr>
                <w:rFonts w:cs="AdvTT5235d5a9"/>
                <w:lang w:val="en-US"/>
              </w:rPr>
              <w:t>to develop a multimodality classi</w:t>
            </w:r>
            <w:r w:rsidR="0045392B" w:rsidRPr="00D16865">
              <w:rPr>
                <w:rFonts w:cs="AdvTT5235d5a9+fb"/>
                <w:lang w:val="en-US"/>
              </w:rPr>
              <w:t>fi</w:t>
            </w:r>
            <w:r w:rsidR="0045392B" w:rsidRPr="00D16865">
              <w:rPr>
                <w:rFonts w:cs="AdvTT5235d5a9"/>
                <w:lang w:val="en-US"/>
              </w:rPr>
              <w:t xml:space="preserve">cation tool for early diagnosis of AD based on imaging biomarkers derived from FDG-PET data spatial patterns (using </w:t>
            </w:r>
            <w:r w:rsidR="0045392B" w:rsidRPr="00D16865">
              <w:rPr>
                <w:rFonts w:cs="AdvTT94c8263f.I"/>
                <w:lang w:val="en-US"/>
              </w:rPr>
              <w:t>t</w:t>
            </w:r>
            <w:r w:rsidR="0045392B" w:rsidRPr="00D16865">
              <w:rPr>
                <w:rFonts w:cs="AdvTT5235d5a9"/>
                <w:lang w:val="en-US"/>
              </w:rPr>
              <w:t xml:space="preserve">-test and ICA) combined with biological measurements (Apolipoprotein E) as well as scores from neuropsychological tests (MMSE, </w:t>
            </w:r>
            <w:r w:rsidR="004C661D">
              <w:rPr>
                <w:rFonts w:cs="AdvTT5235d5a9"/>
                <w:lang w:val="en-US"/>
              </w:rPr>
              <w:t>ADAS</w:t>
            </w:r>
            <w:r w:rsidR="0045392B" w:rsidRPr="00D16865">
              <w:rPr>
                <w:rFonts w:cs="AdvTT5235d5a9"/>
                <w:lang w:val="en-US"/>
              </w:rPr>
              <w:t>, and A</w:t>
            </w:r>
            <w:r w:rsidR="004C661D">
              <w:rPr>
                <w:rFonts w:cs="AdvTT5235d5a9"/>
                <w:lang w:val="en-US"/>
              </w:rPr>
              <w:t>DAS</w:t>
            </w:r>
            <w:r w:rsidR="0045392B" w:rsidRPr="00D16865">
              <w:rPr>
                <w:rFonts w:cs="AdvTT5235d5a9"/>
                <w:lang w:val="en-US"/>
              </w:rPr>
              <w:t>-cog).</w:t>
            </w:r>
          </w:p>
          <w:p w:rsidR="0045392B" w:rsidRPr="00D16865" w:rsidRDefault="0045392B" w:rsidP="0045392B">
            <w:pPr>
              <w:autoSpaceDE w:val="0"/>
              <w:autoSpaceDN w:val="0"/>
              <w:adjustRightInd w:val="0"/>
              <w:rPr>
                <w:rFonts w:cs="AdvTT5235d5a9"/>
                <w:lang w:val="en-US"/>
              </w:rPr>
            </w:pPr>
            <w:r w:rsidRPr="00D16865">
              <w:rPr>
                <w:rFonts w:cs="AdvTT5235d5a9"/>
                <w:b/>
                <w:i/>
                <w:lang w:val="en-US"/>
              </w:rPr>
              <w:t>Hypothesis</w:t>
            </w:r>
            <w:r w:rsidRPr="00D16865">
              <w:rPr>
                <w:rFonts w:cs="AdvTT5235d5a9"/>
                <w:lang w:val="en-US"/>
              </w:rPr>
              <w:t xml:space="preserve">: glucose metabolic patterns observed in late stages of AD are already present at the prodromal stage </w:t>
            </w:r>
          </w:p>
          <w:p w:rsidR="00C760AE" w:rsidRPr="00D16865" w:rsidRDefault="00C760AE" w:rsidP="001065E3">
            <w:pPr>
              <w:contextualSpacing/>
              <w:rPr>
                <w:b/>
                <w:lang w:val="en-US"/>
              </w:rPr>
            </w:pPr>
            <w:r w:rsidRPr="00D16865">
              <w:rPr>
                <w:b/>
                <w:lang w:val="en-US"/>
              </w:rPr>
              <w:t>Conclusion</w:t>
            </w:r>
          </w:p>
          <w:p w:rsidR="00E35AAE" w:rsidRPr="00D16865" w:rsidRDefault="00E35AAE" w:rsidP="00E35AAE">
            <w:pPr>
              <w:autoSpaceDE w:val="0"/>
              <w:autoSpaceDN w:val="0"/>
              <w:adjustRightInd w:val="0"/>
              <w:rPr>
                <w:rFonts w:cs="AdvTT5235d5a9"/>
                <w:lang w:val="en-US"/>
              </w:rPr>
            </w:pPr>
            <w:r w:rsidRPr="00D16865">
              <w:rPr>
                <w:rFonts w:cs="AdvTT5235d5a9"/>
                <w:lang w:val="en-US"/>
              </w:rPr>
              <w:t>“Our approach achieved improved early detection and differentiation of typical versus pathological metabolic patterns in the MCI population, reaching 80% accuracy (85% sensitivity and 75% speci</w:t>
            </w:r>
            <w:r w:rsidRPr="00D16865">
              <w:rPr>
                <w:rFonts w:cs="AdvTT5235d5a9+fb"/>
                <w:lang w:val="en-US"/>
              </w:rPr>
              <w:t>fi</w:t>
            </w:r>
            <w:r w:rsidRPr="00D16865">
              <w:rPr>
                <w:rFonts w:cs="AdvTT5235d5a9"/>
                <w:lang w:val="en-US"/>
              </w:rPr>
              <w:t>city) when using selected regions. The method has the potential to assist in the advance diagnosis of Alzheimer's disease and to identify early in the development of the disease those individuals at high risk of rapid cognitive decline who could be candidates for new therapeutic approaches…” When FDG-PET used in combination with cognitive scores, the accuracy was slightly improved, 82% (85% sensitivity and 80% speci</w:t>
            </w:r>
            <w:r w:rsidRPr="00D16865">
              <w:rPr>
                <w:rFonts w:cs="AdvTT5235d5a9+fb"/>
                <w:lang w:val="en-US"/>
              </w:rPr>
              <w:t>fi</w:t>
            </w:r>
            <w:r w:rsidRPr="00D16865">
              <w:rPr>
                <w:rFonts w:cs="AdvTT5235d5a9"/>
                <w:lang w:val="en-US"/>
              </w:rPr>
              <w:t>city).</w:t>
            </w:r>
          </w:p>
        </w:tc>
      </w:tr>
      <w:tr w:rsidR="00C760AE" w:rsidRPr="00D16865" w:rsidTr="0031616E">
        <w:tc>
          <w:tcPr>
            <w:tcW w:w="13948" w:type="dxa"/>
            <w:gridSpan w:val="2"/>
          </w:tcPr>
          <w:p w:rsidR="00C760AE" w:rsidRPr="00D16865" w:rsidRDefault="00C760AE">
            <w:pPr>
              <w:rPr>
                <w:b/>
                <w:lang w:val="en-US"/>
              </w:rPr>
            </w:pPr>
          </w:p>
        </w:tc>
      </w:tr>
      <w:tr w:rsidR="00DA4731" w:rsidRPr="00D16865" w:rsidTr="0031616E">
        <w:tc>
          <w:tcPr>
            <w:tcW w:w="13948" w:type="dxa"/>
            <w:gridSpan w:val="2"/>
          </w:tcPr>
          <w:p w:rsidR="00DA4731" w:rsidRPr="00D16865" w:rsidRDefault="00EB6DD4">
            <w:pPr>
              <w:rPr>
                <w:b/>
                <w:lang w:val="en-US"/>
              </w:rPr>
            </w:pPr>
            <w:proofErr w:type="spellStart"/>
            <w:r w:rsidRPr="00D16865">
              <w:rPr>
                <w:b/>
                <w:lang w:val="en-US"/>
              </w:rPr>
              <w:t>Trzepacz</w:t>
            </w:r>
            <w:proofErr w:type="spellEnd"/>
            <w:r w:rsidRPr="00D16865">
              <w:rPr>
                <w:b/>
                <w:lang w:val="en-US"/>
              </w:rPr>
              <w:t xml:space="preserve"> 2014</w:t>
            </w:r>
          </w:p>
        </w:tc>
      </w:tr>
      <w:tr w:rsidR="00D000FA" w:rsidRPr="00D16865" w:rsidTr="0031616E">
        <w:tc>
          <w:tcPr>
            <w:tcW w:w="2771" w:type="dxa"/>
          </w:tcPr>
          <w:p w:rsidR="00D000FA" w:rsidRPr="00D16865" w:rsidRDefault="00D000FA" w:rsidP="009A3E78">
            <w:pPr>
              <w:rPr>
                <w:b/>
                <w:lang w:val="en-US"/>
              </w:rPr>
            </w:pPr>
            <w:r w:rsidRPr="00D16865">
              <w:rPr>
                <w:b/>
                <w:lang w:val="en-US"/>
              </w:rPr>
              <w:t>Patient sampling</w:t>
            </w:r>
          </w:p>
        </w:tc>
        <w:tc>
          <w:tcPr>
            <w:tcW w:w="11177" w:type="dxa"/>
          </w:tcPr>
          <w:p w:rsidR="00D000FA" w:rsidRPr="00D16865" w:rsidRDefault="00D000FA" w:rsidP="009A3E78">
            <w:pPr>
              <w:contextualSpacing/>
              <w:rPr>
                <w:lang w:val="en-US"/>
              </w:rPr>
            </w:pPr>
            <w:r w:rsidRPr="00D16865">
              <w:rPr>
                <w:u w:val="single"/>
                <w:lang w:val="en-US"/>
              </w:rPr>
              <w:t>Study design</w:t>
            </w:r>
            <w:r w:rsidR="00962DD1" w:rsidRPr="00D16865">
              <w:rPr>
                <w:u w:val="single"/>
                <w:lang w:val="en-US"/>
              </w:rPr>
              <w:t>:</w:t>
            </w:r>
            <w:r w:rsidR="00962DD1" w:rsidRPr="00D16865">
              <w:rPr>
                <w:lang w:val="en-US"/>
              </w:rPr>
              <w:t xml:space="preserve"> nested case-control study; </w:t>
            </w:r>
            <w:r w:rsidR="00557B9D" w:rsidRPr="00D16865">
              <w:rPr>
                <w:lang w:val="en-US"/>
              </w:rPr>
              <w:t>retrospective analysis of longitudinal data from ADNI database</w:t>
            </w:r>
          </w:p>
          <w:p w:rsidR="00D000FA" w:rsidRPr="00D16865" w:rsidRDefault="00D000FA" w:rsidP="003002BA">
            <w:pPr>
              <w:pStyle w:val="NormalWeb"/>
              <w:rPr>
                <w:rFonts w:asciiTheme="minorHAnsi" w:hAnsiTheme="minorHAnsi" w:cs="Arial"/>
                <w:sz w:val="22"/>
                <w:szCs w:val="22"/>
                <w:lang w:val="en-US"/>
              </w:rPr>
            </w:pPr>
            <w:r w:rsidRPr="00D16865">
              <w:rPr>
                <w:rFonts w:asciiTheme="minorHAnsi" w:hAnsiTheme="minorHAnsi" w:cs="Arial"/>
                <w:sz w:val="22"/>
                <w:szCs w:val="22"/>
                <w:u w:val="single"/>
                <w:lang w:val="en-US"/>
              </w:rPr>
              <w:t>Exclusion criteria:</w:t>
            </w:r>
            <w:r w:rsidRPr="00D16865">
              <w:rPr>
                <w:rFonts w:asciiTheme="minorHAnsi" w:hAnsiTheme="minorHAnsi" w:cs="Arial"/>
                <w:sz w:val="22"/>
                <w:szCs w:val="22"/>
                <w:lang w:val="en-US"/>
              </w:rPr>
              <w:t xml:space="preserve"> </w:t>
            </w:r>
            <w:r w:rsidR="00962DD1" w:rsidRPr="00D16865">
              <w:rPr>
                <w:rFonts w:asciiTheme="minorHAnsi" w:hAnsiTheme="minorHAnsi" w:cs="Arial"/>
                <w:sz w:val="22"/>
                <w:szCs w:val="22"/>
                <w:lang w:val="en-US"/>
              </w:rPr>
              <w:t>not reported</w:t>
            </w:r>
          </w:p>
        </w:tc>
      </w:tr>
      <w:tr w:rsidR="00D000FA" w:rsidRPr="00D16865" w:rsidTr="0031616E">
        <w:tc>
          <w:tcPr>
            <w:tcW w:w="2771" w:type="dxa"/>
          </w:tcPr>
          <w:p w:rsidR="00D000FA" w:rsidRPr="00D16865" w:rsidRDefault="00D000FA" w:rsidP="009A3E78">
            <w:pPr>
              <w:rPr>
                <w:b/>
                <w:lang w:val="en-US"/>
              </w:rPr>
            </w:pPr>
            <w:r w:rsidRPr="00D16865">
              <w:rPr>
                <w:b/>
                <w:lang w:val="en-US"/>
              </w:rPr>
              <w:t>Patient characteristics and settings</w:t>
            </w:r>
          </w:p>
        </w:tc>
        <w:tc>
          <w:tcPr>
            <w:tcW w:w="11177" w:type="dxa"/>
          </w:tcPr>
          <w:p w:rsidR="00D000FA" w:rsidRPr="00D16865" w:rsidRDefault="00026299" w:rsidP="009A3E78">
            <w:pPr>
              <w:spacing w:after="120"/>
              <w:contextualSpacing/>
              <w:rPr>
                <w:rFonts w:eastAsia="Times New Roman" w:cs="Arial"/>
                <w:lang w:val="en-US" w:eastAsia="en-GB"/>
              </w:rPr>
            </w:pPr>
            <w:r w:rsidRPr="00D16865">
              <w:rPr>
                <w:rFonts w:eastAsia="Times New Roman" w:cs="Arial"/>
                <w:lang w:val="en-US" w:eastAsia="en-GB"/>
              </w:rPr>
              <w:t xml:space="preserve">50 MCI patients diagnosed by Albert 2011 </w:t>
            </w:r>
          </w:p>
          <w:p w:rsidR="00D000FA" w:rsidRPr="00D16865" w:rsidRDefault="00D000FA" w:rsidP="009A3E78">
            <w:pPr>
              <w:spacing w:after="120"/>
              <w:contextualSpacing/>
              <w:rPr>
                <w:rFonts w:eastAsia="Times New Roman" w:cs="Arial"/>
                <w:lang w:val="en-US" w:eastAsia="en-GB"/>
              </w:rPr>
            </w:pPr>
            <w:r w:rsidRPr="00D16865">
              <w:rPr>
                <w:rFonts w:eastAsia="Times New Roman" w:cs="Arial"/>
                <w:u w:val="single"/>
                <w:lang w:val="en-US" w:eastAsia="en-GB"/>
              </w:rPr>
              <w:t xml:space="preserve">Gender: </w:t>
            </w:r>
            <w:r w:rsidRPr="00D16865">
              <w:rPr>
                <w:rFonts w:eastAsia="Times New Roman" w:cs="Arial"/>
                <w:lang w:val="en-US" w:eastAsia="en-GB"/>
              </w:rPr>
              <w:t xml:space="preserve"> </w:t>
            </w:r>
            <w:r w:rsidR="00BD3195" w:rsidRPr="00D16865">
              <w:rPr>
                <w:rFonts w:eastAsia="Times New Roman" w:cs="Arial"/>
                <w:lang w:val="en-US" w:eastAsia="en-GB"/>
              </w:rPr>
              <w:t xml:space="preserve">17 </w:t>
            </w:r>
            <w:r w:rsidRPr="00D16865">
              <w:rPr>
                <w:rFonts w:eastAsia="Times New Roman" w:cs="Arial"/>
                <w:lang w:val="en-US" w:eastAsia="en-GB"/>
              </w:rPr>
              <w:t>women</w:t>
            </w:r>
            <w:r w:rsidR="00BD3195" w:rsidRPr="00D16865">
              <w:rPr>
                <w:rFonts w:eastAsia="Times New Roman" w:cs="Arial"/>
                <w:lang w:val="en-US" w:eastAsia="en-GB"/>
              </w:rPr>
              <w:t>, 33</w:t>
            </w:r>
            <w:r w:rsidRPr="00D16865">
              <w:rPr>
                <w:rFonts w:eastAsia="Times New Roman" w:cs="Arial"/>
                <w:lang w:val="en-US" w:eastAsia="en-GB"/>
              </w:rPr>
              <w:t xml:space="preserve"> men</w:t>
            </w:r>
          </w:p>
          <w:p w:rsidR="00D000FA" w:rsidRPr="00D16865" w:rsidRDefault="00D000FA" w:rsidP="009A3E78">
            <w:pPr>
              <w:spacing w:after="120"/>
              <w:contextualSpacing/>
              <w:rPr>
                <w:rFonts w:eastAsia="Times New Roman" w:cs="Arial"/>
                <w:lang w:val="en-US" w:eastAsia="en-GB"/>
              </w:rPr>
            </w:pPr>
            <w:r w:rsidRPr="00D16865">
              <w:rPr>
                <w:rFonts w:eastAsia="Times New Roman" w:cs="Arial"/>
                <w:u w:val="single"/>
                <w:lang w:val="en-US" w:eastAsia="en-GB"/>
              </w:rPr>
              <w:t>Age</w:t>
            </w:r>
            <w:r w:rsidR="001C7711" w:rsidRPr="00D16865">
              <w:rPr>
                <w:rFonts w:eastAsia="Times New Roman" w:cs="Arial"/>
                <w:u w:val="single"/>
                <w:lang w:val="en-US" w:eastAsia="en-GB"/>
              </w:rPr>
              <w:t xml:space="preserve"> (y</w:t>
            </w:r>
            <w:r w:rsidR="00026299" w:rsidRPr="00D16865">
              <w:rPr>
                <w:rFonts w:eastAsia="Times New Roman" w:cs="Arial"/>
                <w:u w:val="single"/>
                <w:lang w:val="en-US" w:eastAsia="en-GB"/>
              </w:rPr>
              <w:t>)</w:t>
            </w:r>
            <w:r w:rsidRPr="00D16865">
              <w:rPr>
                <w:rFonts w:eastAsia="Times New Roman" w:cs="Arial"/>
                <w:u w:val="single"/>
                <w:lang w:val="en-US" w:eastAsia="en-GB"/>
              </w:rPr>
              <w:t>:</w:t>
            </w:r>
            <w:r w:rsidR="00026299" w:rsidRPr="00D16865">
              <w:rPr>
                <w:rFonts w:eastAsia="Times New Roman" w:cs="Arial"/>
                <w:lang w:val="en-US" w:eastAsia="en-GB"/>
              </w:rPr>
              <w:t xml:space="preserve"> </w:t>
            </w:r>
            <w:r w:rsidRPr="00D16865">
              <w:rPr>
                <w:rFonts w:eastAsia="Times New Roman" w:cs="Arial"/>
                <w:lang w:val="en-US" w:eastAsia="en-GB"/>
              </w:rPr>
              <w:t xml:space="preserve">MCI converters </w:t>
            </w:r>
            <w:r w:rsidR="00026299" w:rsidRPr="00D16865">
              <w:rPr>
                <w:rFonts w:eastAsia="Times New Roman" w:cs="Arial"/>
                <w:lang w:val="en-US" w:eastAsia="en-GB"/>
              </w:rPr>
              <w:t>75.4 ±6.6 (range 59.6-83.9)</w:t>
            </w:r>
            <w:r w:rsidRPr="00D16865">
              <w:rPr>
                <w:rFonts w:eastAsia="Times New Roman" w:cs="Arial"/>
                <w:lang w:val="en-US" w:eastAsia="en-GB"/>
              </w:rPr>
              <w:t>; non-MCI converters</w:t>
            </w:r>
            <w:r w:rsidR="00026299" w:rsidRPr="00D16865">
              <w:rPr>
                <w:rFonts w:eastAsia="Times New Roman" w:cs="Arial"/>
                <w:lang w:val="en-US" w:eastAsia="en-GB"/>
              </w:rPr>
              <w:t xml:space="preserve"> 74.2</w:t>
            </w:r>
            <w:r w:rsidRPr="00D16865">
              <w:rPr>
                <w:rFonts w:eastAsia="Times New Roman" w:cs="Arial"/>
                <w:lang w:val="en-US" w:eastAsia="en-GB"/>
              </w:rPr>
              <w:t xml:space="preserve"> ±</w:t>
            </w:r>
            <w:r w:rsidR="00026299" w:rsidRPr="00D16865">
              <w:rPr>
                <w:rFonts w:eastAsia="Times New Roman" w:cs="Arial"/>
                <w:lang w:val="en-US" w:eastAsia="en-GB"/>
              </w:rPr>
              <w:t xml:space="preserve">8.4 (range 56.4-87.7) </w:t>
            </w:r>
          </w:p>
          <w:p w:rsidR="00D000FA" w:rsidRPr="00D16865" w:rsidRDefault="00D000FA" w:rsidP="009A3E78">
            <w:pPr>
              <w:spacing w:after="120"/>
              <w:contextualSpacing/>
              <w:rPr>
                <w:rFonts w:eastAsia="Times New Roman" w:cs="Arial"/>
                <w:lang w:val="en-US" w:eastAsia="en-GB"/>
              </w:rPr>
            </w:pPr>
            <w:r w:rsidRPr="00D16865">
              <w:rPr>
                <w:rFonts w:eastAsia="Times New Roman" w:cs="Arial"/>
                <w:u w:val="single"/>
                <w:lang w:val="en-US" w:eastAsia="en-GB"/>
              </w:rPr>
              <w:t>APOE carrier:</w:t>
            </w:r>
            <w:r w:rsidR="00026299" w:rsidRPr="00D16865">
              <w:rPr>
                <w:rFonts w:eastAsia="Times New Roman" w:cs="Arial"/>
                <w:lang w:val="en-US" w:eastAsia="en-GB"/>
              </w:rPr>
              <w:t xml:space="preserve"> </w:t>
            </w:r>
            <w:r w:rsidRPr="00D16865">
              <w:rPr>
                <w:rFonts w:eastAsia="Times New Roman" w:cs="Arial"/>
                <w:lang w:val="en-US" w:eastAsia="en-GB"/>
              </w:rPr>
              <w:t xml:space="preserve">MCI converters </w:t>
            </w:r>
            <w:r w:rsidR="00026299" w:rsidRPr="00D16865">
              <w:rPr>
                <w:rFonts w:eastAsia="Times New Roman" w:cs="Arial"/>
                <w:lang w:val="en-US" w:eastAsia="en-GB"/>
              </w:rPr>
              <w:t xml:space="preserve">7/20 ε3/ε3, 10/20 ε3/ε4, 2/20 ε4/ε4 and 1/20 </w:t>
            </w:r>
            <w:r w:rsidR="003002BA" w:rsidRPr="00D16865">
              <w:rPr>
                <w:rFonts w:eastAsia="Times New Roman" w:cs="Arial"/>
                <w:lang w:val="en-US" w:eastAsia="en-GB"/>
              </w:rPr>
              <w:t>ε2</w:t>
            </w:r>
            <w:r w:rsidR="00026299" w:rsidRPr="00D16865">
              <w:rPr>
                <w:rFonts w:eastAsia="Times New Roman" w:cs="Arial"/>
                <w:lang w:val="en-US" w:eastAsia="en-GB"/>
              </w:rPr>
              <w:t>/ε4</w:t>
            </w:r>
            <w:r w:rsidR="003002BA" w:rsidRPr="00D16865">
              <w:rPr>
                <w:rFonts w:eastAsia="Times New Roman" w:cs="Arial"/>
                <w:lang w:val="en-US" w:eastAsia="en-GB"/>
              </w:rPr>
              <w:t>; non-MCI converters 15/30 ε3/ε3, 11/30 ε3/ε4, 2/30 ε4/ε4 and 2/30 ε2/ε4</w:t>
            </w:r>
          </w:p>
          <w:p w:rsidR="00D000FA" w:rsidRPr="00D16865" w:rsidRDefault="00D000FA" w:rsidP="009A3E78">
            <w:pPr>
              <w:spacing w:after="120"/>
              <w:contextualSpacing/>
              <w:rPr>
                <w:rFonts w:eastAsia="Times New Roman" w:cs="Arial"/>
                <w:lang w:val="en-US" w:eastAsia="en-GB"/>
              </w:rPr>
            </w:pPr>
            <w:r w:rsidRPr="00D16865">
              <w:rPr>
                <w:rFonts w:eastAsia="Times New Roman" w:cs="Arial"/>
                <w:u w:val="single"/>
                <w:lang w:val="en-US" w:eastAsia="en-GB"/>
              </w:rPr>
              <w:t>MMSE:</w:t>
            </w:r>
            <w:r w:rsidR="003002BA" w:rsidRPr="00D16865">
              <w:rPr>
                <w:rFonts w:eastAsia="Times New Roman" w:cs="Arial"/>
                <w:lang w:val="en-US" w:eastAsia="en-GB"/>
              </w:rPr>
              <w:t xml:space="preserve"> MCI converters 26.2±2.1 (range 22-30); non-MCI converters 28.3±1.6 (range 24-30)</w:t>
            </w:r>
          </w:p>
          <w:p w:rsidR="003002BA" w:rsidRPr="00D16865" w:rsidRDefault="00D000FA" w:rsidP="003002BA">
            <w:pPr>
              <w:spacing w:after="120"/>
              <w:contextualSpacing/>
              <w:rPr>
                <w:rFonts w:eastAsia="Times New Roman" w:cs="Arial"/>
                <w:lang w:val="en-US" w:eastAsia="en-GB"/>
              </w:rPr>
            </w:pPr>
            <w:r w:rsidRPr="00D16865">
              <w:rPr>
                <w:rFonts w:eastAsia="Times New Roman" w:cs="Arial"/>
                <w:u w:val="single"/>
                <w:lang w:val="en-US" w:eastAsia="en-GB"/>
              </w:rPr>
              <w:t>Education</w:t>
            </w:r>
            <w:r w:rsidR="003002BA" w:rsidRPr="00D16865">
              <w:rPr>
                <w:rFonts w:eastAsia="Times New Roman" w:cs="Arial"/>
                <w:u w:val="single"/>
                <w:lang w:val="en-US" w:eastAsia="en-GB"/>
              </w:rPr>
              <w:t xml:space="preserve"> (y)</w:t>
            </w:r>
            <w:r w:rsidRPr="00D16865">
              <w:rPr>
                <w:rFonts w:eastAsia="Times New Roman" w:cs="Arial"/>
                <w:u w:val="single"/>
                <w:lang w:val="en-US" w:eastAsia="en-GB"/>
              </w:rPr>
              <w:t>:</w:t>
            </w:r>
            <w:r w:rsidR="003002BA" w:rsidRPr="00D16865">
              <w:rPr>
                <w:rFonts w:eastAsia="Times New Roman" w:cs="Arial"/>
                <w:lang w:val="en-US" w:eastAsia="en-GB"/>
              </w:rPr>
              <w:t xml:space="preserve"> MCI converters 16.3±2.8 (range 12-2); non-MCI converters 15.9±2.6 (range 12-20)</w:t>
            </w:r>
          </w:p>
          <w:p w:rsidR="00D000FA" w:rsidRPr="00D16865" w:rsidRDefault="00D000FA" w:rsidP="009A3E78">
            <w:pPr>
              <w:spacing w:after="120"/>
              <w:contextualSpacing/>
              <w:rPr>
                <w:rFonts w:eastAsia="Times New Roman" w:cs="Arial"/>
                <w:lang w:val="en-US" w:eastAsia="en-GB"/>
              </w:rPr>
            </w:pPr>
            <w:r w:rsidRPr="00D16865">
              <w:rPr>
                <w:rFonts w:eastAsia="Times New Roman" w:cs="Arial"/>
                <w:u w:val="single"/>
                <w:lang w:val="en-US" w:eastAsia="en-GB"/>
              </w:rPr>
              <w:t>Sources of referral:</w:t>
            </w:r>
            <w:r w:rsidRPr="00D16865">
              <w:rPr>
                <w:rFonts w:eastAsia="Times New Roman" w:cs="Arial"/>
                <w:lang w:val="en-US" w:eastAsia="en-GB"/>
              </w:rPr>
              <w:t xml:space="preserve"> not reported</w:t>
            </w:r>
          </w:p>
          <w:p w:rsidR="00D000FA" w:rsidRPr="00D16865" w:rsidRDefault="00D000FA" w:rsidP="007F5564">
            <w:pPr>
              <w:spacing w:after="120"/>
              <w:contextualSpacing/>
              <w:rPr>
                <w:rFonts w:eastAsia="Times New Roman" w:cs="Arial"/>
                <w:lang w:val="en-US" w:eastAsia="en-GB"/>
              </w:rPr>
            </w:pPr>
            <w:r w:rsidRPr="00D16865">
              <w:rPr>
                <w:rFonts w:eastAsia="Times New Roman" w:cs="Arial"/>
                <w:u w:val="single"/>
                <w:lang w:val="en-US" w:eastAsia="en-GB"/>
              </w:rPr>
              <w:t>Setting:</w:t>
            </w:r>
            <w:r w:rsidRPr="00D16865">
              <w:rPr>
                <w:rFonts w:eastAsia="Times New Roman" w:cs="Arial"/>
                <w:lang w:val="en-US" w:eastAsia="en-GB"/>
              </w:rPr>
              <w:t xml:space="preserve"> </w:t>
            </w:r>
            <w:r w:rsidR="004C661D" w:rsidRPr="00D16865">
              <w:rPr>
                <w:rFonts w:eastAsia="Times New Roman" w:cs="Arial"/>
                <w:lang w:val="en-US" w:eastAsia="en-GB"/>
              </w:rPr>
              <w:t>multicenter</w:t>
            </w:r>
          </w:p>
        </w:tc>
      </w:tr>
      <w:tr w:rsidR="00D000FA" w:rsidRPr="00D16865" w:rsidTr="0031616E">
        <w:tc>
          <w:tcPr>
            <w:tcW w:w="2771" w:type="dxa"/>
          </w:tcPr>
          <w:p w:rsidR="00D000FA" w:rsidRPr="00D16865" w:rsidRDefault="00D000FA" w:rsidP="009A3E78">
            <w:pPr>
              <w:rPr>
                <w:b/>
                <w:lang w:val="en-US"/>
              </w:rPr>
            </w:pPr>
            <w:r w:rsidRPr="00D16865">
              <w:rPr>
                <w:b/>
                <w:lang w:val="en-US"/>
              </w:rPr>
              <w:t>Index test</w:t>
            </w:r>
          </w:p>
        </w:tc>
        <w:tc>
          <w:tcPr>
            <w:tcW w:w="11177" w:type="dxa"/>
          </w:tcPr>
          <w:p w:rsidR="00D000FA" w:rsidRPr="00D16865" w:rsidRDefault="009F1533" w:rsidP="009A3E78">
            <w:pPr>
              <w:autoSpaceDE w:val="0"/>
              <w:autoSpaceDN w:val="0"/>
              <w:adjustRightInd w:val="0"/>
              <w:rPr>
                <w:rFonts w:cs="Times-Roman"/>
                <w:lang w:val="en-US"/>
              </w:rPr>
            </w:pPr>
            <w:r w:rsidRPr="00D16865">
              <w:rPr>
                <w:rFonts w:cs="Arial"/>
                <w:vertAlign w:val="superscript"/>
                <w:lang w:val="en-US"/>
              </w:rPr>
              <w:t>18</w:t>
            </w:r>
            <w:r w:rsidRPr="00D16865">
              <w:rPr>
                <w:rFonts w:cs="Arial"/>
                <w:lang w:val="en-US"/>
              </w:rPr>
              <w:t xml:space="preserve">F-FDG PET </w:t>
            </w:r>
            <w:r w:rsidR="00D000FA" w:rsidRPr="00D16865">
              <w:rPr>
                <w:rFonts w:cs="Times-Roman"/>
                <w:lang w:val="en-US"/>
              </w:rPr>
              <w:t>scan</w:t>
            </w:r>
          </w:p>
          <w:p w:rsidR="00A67607" w:rsidRPr="00D16865" w:rsidRDefault="00C51471" w:rsidP="009A3E78">
            <w:pPr>
              <w:autoSpaceDE w:val="0"/>
              <w:autoSpaceDN w:val="0"/>
              <w:adjustRightInd w:val="0"/>
              <w:rPr>
                <w:rFonts w:cs="AdvOT863180fb"/>
                <w:color w:val="000000"/>
                <w:lang w:val="en-US"/>
              </w:rPr>
            </w:pPr>
            <w:r w:rsidRPr="00D16865">
              <w:rPr>
                <w:rFonts w:cs="AdvOT863180fb"/>
                <w:color w:val="000000"/>
                <w:lang w:val="en-US"/>
              </w:rPr>
              <w:t xml:space="preserve">Information about the </w:t>
            </w:r>
            <w:r w:rsidRPr="00D16865">
              <w:rPr>
                <w:rFonts w:cs="AdvOT863180fb"/>
                <w:color w:val="000000"/>
                <w:u w:val="single"/>
                <w:lang w:val="en-US"/>
              </w:rPr>
              <w:t>acquisition</w:t>
            </w:r>
            <w:r w:rsidRPr="00D16865">
              <w:rPr>
                <w:rFonts w:cs="AdvOT863180fb"/>
                <w:color w:val="000000"/>
                <w:lang w:val="en-US"/>
              </w:rPr>
              <w:t xml:space="preserve"> and </w:t>
            </w:r>
            <w:r w:rsidRPr="00D16865">
              <w:rPr>
                <w:rFonts w:cs="AdvOT863180fb"/>
                <w:color w:val="000000"/>
                <w:u w:val="single"/>
                <w:lang w:val="en-US"/>
              </w:rPr>
              <w:t>data analysis</w:t>
            </w:r>
            <w:r w:rsidRPr="00D16865">
              <w:rPr>
                <w:rFonts w:cs="AdvOT863180fb"/>
                <w:color w:val="000000"/>
                <w:lang w:val="en-US"/>
              </w:rPr>
              <w:t xml:space="preserve"> not reported; it can be found in the ADNI procedure manual (</w:t>
            </w:r>
            <w:r w:rsidRPr="00D16865">
              <w:rPr>
                <w:rFonts w:cs="AdvOT863180fb"/>
                <w:color w:val="000066"/>
                <w:lang w:val="en-US"/>
              </w:rPr>
              <w:t>http://www.adni-info.org/Scientists/ Pdfs/adniproceduresmanual12.pdf</w:t>
            </w:r>
          </w:p>
          <w:p w:rsidR="003002BA" w:rsidRPr="00D16865" w:rsidRDefault="00D000FA" w:rsidP="00C51471">
            <w:pPr>
              <w:rPr>
                <w:lang w:val="en-US"/>
              </w:rPr>
            </w:pPr>
            <w:r w:rsidRPr="00D16865">
              <w:rPr>
                <w:u w:val="single"/>
                <w:lang w:val="en-US"/>
              </w:rPr>
              <w:t>Threshold:</w:t>
            </w:r>
            <w:r w:rsidR="003345DF" w:rsidRPr="00D16865">
              <w:rPr>
                <w:lang w:val="en-US"/>
              </w:rPr>
              <w:t xml:space="preserve"> not reported</w:t>
            </w:r>
            <w:r w:rsidR="00C51471" w:rsidRPr="00D16865">
              <w:rPr>
                <w:lang w:val="en-US"/>
              </w:rPr>
              <w:t xml:space="preserve">; The cerebral metabolic rate of glucose in particular brain regions was assessed </w:t>
            </w:r>
            <w:r w:rsidR="00C51471" w:rsidRPr="00D16865">
              <w:rPr>
                <w:rFonts w:cs="AdvOT863180fb"/>
                <w:color w:val="000000"/>
                <w:lang w:val="en-US"/>
              </w:rPr>
              <w:t>(</w:t>
            </w:r>
            <w:r w:rsidR="00C51471" w:rsidRPr="00D16865">
              <w:rPr>
                <w:lang w:val="en-US"/>
              </w:rPr>
              <w:t xml:space="preserve">Table 1, </w:t>
            </w:r>
            <w:proofErr w:type="spellStart"/>
            <w:r w:rsidR="00C51471" w:rsidRPr="00D16865">
              <w:rPr>
                <w:lang w:val="en-US"/>
              </w:rPr>
              <w:t>pg</w:t>
            </w:r>
            <w:proofErr w:type="spellEnd"/>
            <w:r w:rsidR="00C51471" w:rsidRPr="00D16865">
              <w:rPr>
                <w:lang w:val="en-US"/>
              </w:rPr>
              <w:t xml:space="preserve"> 145)</w:t>
            </w:r>
            <w:r w:rsidR="00086A9D" w:rsidRPr="00D16865">
              <w:rPr>
                <w:lang w:val="en-US"/>
              </w:rPr>
              <w:t xml:space="preserve">, </w:t>
            </w:r>
            <w:r w:rsidR="00086A9D" w:rsidRPr="00D16865">
              <w:rPr>
                <w:lang w:val="en-US"/>
              </w:rPr>
              <w:lastRenderedPageBreak/>
              <w:t>a number of ROI, i.e.</w:t>
            </w:r>
            <w:r w:rsidR="004C661D">
              <w:rPr>
                <w:lang w:val="en-US"/>
              </w:rPr>
              <w:t>,</w:t>
            </w:r>
            <w:r w:rsidR="00086A9D" w:rsidRPr="00D16865">
              <w:rPr>
                <w:lang w:val="en-US"/>
              </w:rPr>
              <w:t xml:space="preserve"> frontal, parietal and temporal cortices; posterior cingulate</w:t>
            </w:r>
            <w:r w:rsidR="00C51471" w:rsidRPr="00D16865">
              <w:rPr>
                <w:lang w:val="en-US"/>
              </w:rPr>
              <w:t xml:space="preserve"> </w:t>
            </w:r>
          </w:p>
        </w:tc>
      </w:tr>
      <w:tr w:rsidR="00D000FA" w:rsidRPr="00D16865" w:rsidTr="0031616E">
        <w:tc>
          <w:tcPr>
            <w:tcW w:w="2771" w:type="dxa"/>
          </w:tcPr>
          <w:p w:rsidR="00D000FA" w:rsidRPr="00D16865" w:rsidRDefault="00D000FA" w:rsidP="009A3E78">
            <w:pPr>
              <w:rPr>
                <w:b/>
                <w:lang w:val="en-US"/>
              </w:rPr>
            </w:pPr>
            <w:r w:rsidRPr="00D16865">
              <w:rPr>
                <w:b/>
                <w:lang w:val="en-US"/>
              </w:rPr>
              <w:lastRenderedPageBreak/>
              <w:t>Target condition</w:t>
            </w:r>
          </w:p>
        </w:tc>
        <w:tc>
          <w:tcPr>
            <w:tcW w:w="11177" w:type="dxa"/>
          </w:tcPr>
          <w:p w:rsidR="00D000FA" w:rsidRPr="00D16865" w:rsidRDefault="00D000FA" w:rsidP="009A3E78">
            <w:pPr>
              <w:contextualSpacing/>
              <w:rPr>
                <w:lang w:val="en-US"/>
              </w:rPr>
            </w:pPr>
            <w:r w:rsidRPr="00D16865">
              <w:rPr>
                <w:u w:val="single"/>
                <w:lang w:val="en-US"/>
              </w:rPr>
              <w:t>Target condition</w:t>
            </w:r>
            <w:r w:rsidRPr="00D16865">
              <w:rPr>
                <w:lang w:val="en-US"/>
              </w:rPr>
              <w:t>: conversion from MCI to Alzheimer’s disease dementia</w:t>
            </w:r>
          </w:p>
          <w:p w:rsidR="00D000FA" w:rsidRPr="00D16865" w:rsidRDefault="00D000FA" w:rsidP="009A3E78">
            <w:pPr>
              <w:rPr>
                <w:lang w:val="en-US"/>
              </w:rPr>
            </w:pPr>
            <w:r w:rsidRPr="00D16865">
              <w:rPr>
                <w:u w:val="single"/>
                <w:lang w:val="en-US"/>
              </w:rPr>
              <w:t>Reference standard</w:t>
            </w:r>
            <w:r w:rsidRPr="00D16865">
              <w:rPr>
                <w:lang w:val="en-US"/>
              </w:rPr>
              <w:t xml:space="preserve">: </w:t>
            </w:r>
            <w:r w:rsidRPr="00D16865">
              <w:rPr>
                <w:rFonts w:eastAsia="Times New Roman" w:cs="Arial"/>
                <w:lang w:val="en-US" w:eastAsia="en-GB"/>
              </w:rPr>
              <w:t>NINCDS-ADRDA and DSM-IV criteria</w:t>
            </w:r>
          </w:p>
        </w:tc>
      </w:tr>
      <w:tr w:rsidR="00D000FA" w:rsidRPr="00D16865" w:rsidTr="0031616E">
        <w:tc>
          <w:tcPr>
            <w:tcW w:w="2771" w:type="dxa"/>
          </w:tcPr>
          <w:p w:rsidR="00D000FA" w:rsidRPr="00D16865" w:rsidRDefault="00D000FA" w:rsidP="009A3E78">
            <w:pPr>
              <w:rPr>
                <w:b/>
                <w:lang w:val="en-US"/>
              </w:rPr>
            </w:pPr>
            <w:r w:rsidRPr="00D16865">
              <w:rPr>
                <w:b/>
                <w:lang w:val="en-US"/>
              </w:rPr>
              <w:t>Flow and timing</w:t>
            </w:r>
          </w:p>
        </w:tc>
        <w:tc>
          <w:tcPr>
            <w:tcW w:w="11177" w:type="dxa"/>
          </w:tcPr>
          <w:p w:rsidR="00D000FA" w:rsidRPr="00D16865" w:rsidRDefault="00D000FA" w:rsidP="009A3E78">
            <w:pPr>
              <w:spacing w:after="120"/>
              <w:contextualSpacing/>
              <w:rPr>
                <w:rFonts w:eastAsia="Times New Roman" w:cs="Arial"/>
                <w:lang w:val="en-US" w:eastAsia="en-GB"/>
              </w:rPr>
            </w:pPr>
            <w:r w:rsidRPr="00D16865">
              <w:rPr>
                <w:rFonts w:eastAsia="Times New Roman" w:cs="Arial"/>
                <w:lang w:val="en-US" w:eastAsia="en-GB"/>
              </w:rPr>
              <w:t xml:space="preserve">Duration of follow-up: </w:t>
            </w:r>
            <w:r w:rsidR="00026299" w:rsidRPr="00D16865">
              <w:rPr>
                <w:rFonts w:eastAsia="Times New Roman" w:cs="Arial"/>
                <w:lang w:val="en-US" w:eastAsia="en-GB"/>
              </w:rPr>
              <w:t>2 years</w:t>
            </w:r>
          </w:p>
          <w:p w:rsidR="00D000FA" w:rsidRPr="00D16865" w:rsidRDefault="00D000FA" w:rsidP="009A3E78">
            <w:pPr>
              <w:autoSpaceDE w:val="0"/>
              <w:autoSpaceDN w:val="0"/>
              <w:adjustRightInd w:val="0"/>
              <w:rPr>
                <w:rFonts w:eastAsia="Times New Roman" w:cs="Arial"/>
                <w:u w:val="single"/>
                <w:lang w:val="en-US" w:eastAsia="en-GB"/>
              </w:rPr>
            </w:pPr>
            <w:r w:rsidRPr="00D16865">
              <w:rPr>
                <w:rFonts w:eastAsia="Times New Roman" w:cs="Arial"/>
                <w:u w:val="single"/>
                <w:lang w:val="en-US" w:eastAsia="en-GB"/>
              </w:rPr>
              <w:t>Number included in analysis (N=</w:t>
            </w:r>
            <w:r w:rsidR="00026299" w:rsidRPr="00D16865">
              <w:rPr>
                <w:rFonts w:eastAsia="Times New Roman" w:cs="Arial"/>
                <w:u w:val="single"/>
                <w:lang w:val="en-US" w:eastAsia="en-GB"/>
              </w:rPr>
              <w:t>50</w:t>
            </w:r>
            <w:r w:rsidRPr="00D16865">
              <w:rPr>
                <w:rFonts w:eastAsia="Times New Roman" w:cs="Arial"/>
                <w:u w:val="single"/>
                <w:lang w:val="en-US" w:eastAsia="en-GB"/>
              </w:rPr>
              <w:t>)</w:t>
            </w:r>
          </w:p>
          <w:p w:rsidR="00D000FA" w:rsidRPr="00D16865" w:rsidRDefault="00D000FA" w:rsidP="009A3E78">
            <w:pPr>
              <w:autoSpaceDE w:val="0"/>
              <w:autoSpaceDN w:val="0"/>
              <w:adjustRightInd w:val="0"/>
              <w:rPr>
                <w:rFonts w:cs="AdvTT3713a231"/>
                <w:color w:val="131413"/>
                <w:lang w:val="en-US"/>
              </w:rPr>
            </w:pPr>
            <w:r w:rsidRPr="00D16865">
              <w:rPr>
                <w:rFonts w:eastAsia="Times New Roman" w:cs="Arial"/>
                <w:lang w:val="en-US" w:eastAsia="en-GB"/>
              </w:rPr>
              <w:t xml:space="preserve">At follow-up: </w:t>
            </w:r>
            <w:r w:rsidR="00026299" w:rsidRPr="00D16865">
              <w:rPr>
                <w:rFonts w:eastAsia="Times New Roman" w:cs="Arial"/>
                <w:lang w:val="en-US" w:eastAsia="en-GB"/>
              </w:rPr>
              <w:t xml:space="preserve">20 </w:t>
            </w:r>
            <w:r w:rsidR="004C661D">
              <w:rPr>
                <w:rFonts w:eastAsia="Times New Roman" w:cs="Arial"/>
                <w:lang w:val="en-US" w:eastAsia="en-GB"/>
              </w:rPr>
              <w:t xml:space="preserve">MCI-AD (disease positive); </w:t>
            </w:r>
            <w:r w:rsidR="00026299" w:rsidRPr="00D16865">
              <w:rPr>
                <w:rFonts w:eastAsia="Times New Roman" w:cs="Arial"/>
                <w:lang w:val="en-US" w:eastAsia="en-GB"/>
              </w:rPr>
              <w:t xml:space="preserve">30 </w:t>
            </w:r>
            <w:r w:rsidRPr="00D16865">
              <w:rPr>
                <w:rFonts w:eastAsia="Times New Roman" w:cs="Arial"/>
                <w:lang w:val="en-US" w:eastAsia="en-GB"/>
              </w:rPr>
              <w:t>MCI-MCI (disease negative</w:t>
            </w:r>
            <w:r w:rsidR="00026299" w:rsidRPr="00D16865">
              <w:rPr>
                <w:rFonts w:eastAsia="Times New Roman" w:cs="Arial"/>
                <w:lang w:val="en-US" w:eastAsia="en-GB"/>
              </w:rPr>
              <w:t>)</w:t>
            </w:r>
          </w:p>
          <w:p w:rsidR="00D000FA" w:rsidRPr="00D16865" w:rsidRDefault="00D000FA" w:rsidP="009A3E78">
            <w:pPr>
              <w:autoSpaceDE w:val="0"/>
              <w:autoSpaceDN w:val="0"/>
              <w:adjustRightInd w:val="0"/>
              <w:rPr>
                <w:rFonts w:cs="AdvTT3713a231"/>
                <w:color w:val="131413"/>
                <w:lang w:val="en-US"/>
              </w:rPr>
            </w:pPr>
            <w:r w:rsidRPr="00D16865">
              <w:rPr>
                <w:rFonts w:cs="AdvTT3713a231"/>
                <w:color w:val="131413"/>
                <w:lang w:val="en-US"/>
              </w:rPr>
              <w:t>Conversion from MCI to ADD</w:t>
            </w:r>
          </w:p>
          <w:p w:rsidR="00D000FA" w:rsidRPr="00D16865" w:rsidRDefault="00D000FA" w:rsidP="009A3E78">
            <w:pPr>
              <w:autoSpaceDE w:val="0"/>
              <w:autoSpaceDN w:val="0"/>
              <w:adjustRightInd w:val="0"/>
              <w:rPr>
                <w:rFonts w:cs="AdvTT3713a231"/>
                <w:color w:val="131413"/>
                <w:lang w:val="en-US"/>
              </w:rPr>
            </w:pPr>
            <w:r w:rsidRPr="00D16865">
              <w:rPr>
                <w:rFonts w:cs="AdvTT3713a231"/>
                <w:color w:val="131413"/>
                <w:lang w:val="en-US"/>
              </w:rPr>
              <w:t>Sensitivity=</w:t>
            </w:r>
            <w:r w:rsidR="00026299" w:rsidRPr="00D16865">
              <w:rPr>
                <w:rFonts w:cs="AdvTT3713a231"/>
                <w:color w:val="131413"/>
                <w:lang w:val="en-US"/>
              </w:rPr>
              <w:t>10</w:t>
            </w:r>
            <w:r w:rsidRPr="00D16865">
              <w:rPr>
                <w:rFonts w:cs="AdvTT3713a231"/>
                <w:color w:val="131413"/>
                <w:lang w:val="en-US"/>
              </w:rPr>
              <w:t>%; specificity=</w:t>
            </w:r>
            <w:r w:rsidR="00026299" w:rsidRPr="00D16865">
              <w:rPr>
                <w:rFonts w:cs="AdvTT3713a231"/>
                <w:color w:val="131413"/>
                <w:lang w:val="en-US"/>
              </w:rPr>
              <w:t>97</w:t>
            </w:r>
            <w:r w:rsidRPr="00D16865">
              <w:rPr>
                <w:rFonts w:cs="AdvTT3713a231"/>
                <w:color w:val="131413"/>
                <w:lang w:val="en-US"/>
              </w:rPr>
              <w:t>%</w:t>
            </w:r>
            <w:r w:rsidR="00A81BEA" w:rsidRPr="00D16865">
              <w:rPr>
                <w:rFonts w:cs="AdvTT3713a231"/>
                <w:color w:val="131413"/>
                <w:lang w:val="en-US"/>
              </w:rPr>
              <w:t xml:space="preserve"> (Fig 2, p147)</w:t>
            </w:r>
          </w:p>
          <w:p w:rsidR="00D000FA" w:rsidRPr="00D16865" w:rsidRDefault="00D000FA" w:rsidP="007F5564">
            <w:pPr>
              <w:autoSpaceDE w:val="0"/>
              <w:autoSpaceDN w:val="0"/>
              <w:adjustRightInd w:val="0"/>
              <w:rPr>
                <w:rFonts w:cs="AdvTT3713a231"/>
                <w:color w:val="131413"/>
                <w:lang w:val="en-US"/>
              </w:rPr>
            </w:pPr>
            <w:r w:rsidRPr="00D16865">
              <w:rPr>
                <w:rFonts w:cs="Arial"/>
                <w:lang w:val="en-US"/>
              </w:rPr>
              <w:t>TP=</w:t>
            </w:r>
            <w:r w:rsidR="005E3782" w:rsidRPr="00D16865">
              <w:rPr>
                <w:rFonts w:cs="Arial"/>
                <w:lang w:val="en-US"/>
              </w:rPr>
              <w:t>2</w:t>
            </w:r>
            <w:r w:rsidRPr="00D16865">
              <w:rPr>
                <w:rFonts w:cs="Arial"/>
                <w:lang w:val="en-US"/>
              </w:rPr>
              <w:t>; FP=</w:t>
            </w:r>
            <w:r w:rsidR="005E3782" w:rsidRPr="00D16865">
              <w:rPr>
                <w:rFonts w:cs="Arial"/>
                <w:lang w:val="en-US"/>
              </w:rPr>
              <w:t>1</w:t>
            </w:r>
            <w:r w:rsidRPr="00D16865">
              <w:rPr>
                <w:rFonts w:cs="Arial"/>
                <w:lang w:val="en-US"/>
              </w:rPr>
              <w:t>; FN=</w:t>
            </w:r>
            <w:r w:rsidR="005E3782" w:rsidRPr="00D16865">
              <w:rPr>
                <w:rFonts w:cs="Arial"/>
                <w:lang w:val="en-US"/>
              </w:rPr>
              <w:t>18</w:t>
            </w:r>
            <w:r w:rsidRPr="00D16865">
              <w:rPr>
                <w:rFonts w:cs="Arial"/>
                <w:lang w:val="en-US"/>
              </w:rPr>
              <w:t>; TN=</w:t>
            </w:r>
            <w:r w:rsidR="005E3782" w:rsidRPr="00D16865">
              <w:rPr>
                <w:rFonts w:cs="Arial"/>
                <w:lang w:val="en-US"/>
              </w:rPr>
              <w:t>29; PPV=67%; NPV=62%</w:t>
            </w:r>
            <w:r w:rsidRPr="00D16865">
              <w:rPr>
                <w:rFonts w:cs="Arial"/>
                <w:lang w:val="en-US"/>
              </w:rPr>
              <w:t xml:space="preserve"> (Calculated in Revman5)</w:t>
            </w:r>
          </w:p>
        </w:tc>
      </w:tr>
      <w:tr w:rsidR="00EB6DD4" w:rsidRPr="00D16865" w:rsidTr="0031616E">
        <w:tc>
          <w:tcPr>
            <w:tcW w:w="13948" w:type="dxa"/>
            <w:gridSpan w:val="2"/>
          </w:tcPr>
          <w:p w:rsidR="00A67607" w:rsidRPr="00D16865" w:rsidRDefault="005D0045">
            <w:pPr>
              <w:rPr>
                <w:lang w:val="en-US"/>
              </w:rPr>
            </w:pPr>
            <w:r w:rsidRPr="00D16865">
              <w:rPr>
                <w:b/>
                <w:lang w:val="en-US"/>
              </w:rPr>
              <w:t xml:space="preserve">Objective: </w:t>
            </w:r>
            <w:r w:rsidR="00F65FCD" w:rsidRPr="00D16865">
              <w:rPr>
                <w:rFonts w:cs="AdvTT5235d5a9"/>
                <w:lang w:val="en-US"/>
              </w:rPr>
              <w:t xml:space="preserve">to compare the accuracy of </w:t>
            </w:r>
            <w:r w:rsidR="00F65FCD" w:rsidRPr="00D16865">
              <w:rPr>
                <w:rFonts w:cs="AdvTT5235d5a9"/>
                <w:vertAlign w:val="superscript"/>
                <w:lang w:val="en-US"/>
              </w:rPr>
              <w:t>11</w:t>
            </w:r>
            <w:r w:rsidR="00F65FCD" w:rsidRPr="00D16865">
              <w:rPr>
                <w:rFonts w:cs="AdvTT5235d5a9"/>
                <w:lang w:val="en-US"/>
              </w:rPr>
              <w:t xml:space="preserve">C-PIB PET, </w:t>
            </w:r>
            <w:r w:rsidR="00F65FCD" w:rsidRPr="00D16865">
              <w:rPr>
                <w:vertAlign w:val="superscript"/>
                <w:lang w:val="en-US"/>
              </w:rPr>
              <w:t>18</w:t>
            </w:r>
            <w:r w:rsidR="00F65FCD" w:rsidRPr="00D16865">
              <w:rPr>
                <w:lang w:val="en-US"/>
              </w:rPr>
              <w:t xml:space="preserve">F-FDG PET and MRI for the prediction of conversion from MCI to AD dementia at </w:t>
            </w:r>
            <w:proofErr w:type="gramStart"/>
            <w:r w:rsidR="00F65FCD" w:rsidRPr="00D16865">
              <w:rPr>
                <w:lang w:val="en-US"/>
              </w:rPr>
              <w:t>2 year</w:t>
            </w:r>
            <w:proofErr w:type="gramEnd"/>
            <w:r w:rsidR="00F65FCD" w:rsidRPr="00D16865">
              <w:rPr>
                <w:lang w:val="en-US"/>
              </w:rPr>
              <w:t xml:space="preserve"> follow-up. </w:t>
            </w:r>
            <w:r w:rsidR="005E3782" w:rsidRPr="00D16865">
              <w:rPr>
                <w:lang w:val="en-US"/>
              </w:rPr>
              <w:t xml:space="preserve">In this systematic review we only consider the data for </w:t>
            </w:r>
            <w:r w:rsidR="005E3782" w:rsidRPr="00D16865">
              <w:rPr>
                <w:vertAlign w:val="superscript"/>
                <w:lang w:val="en-US"/>
              </w:rPr>
              <w:t>18</w:t>
            </w:r>
            <w:r w:rsidR="005E3782" w:rsidRPr="00D16865">
              <w:rPr>
                <w:lang w:val="en-US"/>
              </w:rPr>
              <w:t xml:space="preserve">F-FDG PET scan. </w:t>
            </w:r>
          </w:p>
          <w:p w:rsidR="00F65FCD" w:rsidRPr="00D16865" w:rsidRDefault="00F65FCD" w:rsidP="00F65FCD">
            <w:pPr>
              <w:rPr>
                <w:lang w:val="en-US"/>
              </w:rPr>
            </w:pPr>
            <w:r w:rsidRPr="00D16865">
              <w:rPr>
                <w:b/>
                <w:lang w:val="en-US"/>
              </w:rPr>
              <w:t>Conclusion</w:t>
            </w:r>
          </w:p>
          <w:p w:rsidR="00F65FCD" w:rsidRPr="00D16865" w:rsidRDefault="00F65FCD">
            <w:pPr>
              <w:rPr>
                <w:lang w:val="en-US"/>
              </w:rPr>
            </w:pPr>
            <w:r w:rsidRPr="00D16865">
              <w:rPr>
                <w:rFonts w:cs="AdvOT863180fb"/>
                <w:lang w:val="en-US"/>
              </w:rPr>
              <w:t xml:space="preserve">Multivariate </w:t>
            </w:r>
            <w:r w:rsidR="005D0045" w:rsidRPr="00D16865">
              <w:rPr>
                <w:rFonts w:cs="AdvOT863180fb"/>
                <w:lang w:val="en-US"/>
              </w:rPr>
              <w:t>modelling</w:t>
            </w:r>
            <w:r w:rsidRPr="00D16865">
              <w:rPr>
                <w:rFonts w:cs="AdvOT863180fb"/>
                <w:lang w:val="en-US"/>
              </w:rPr>
              <w:t xml:space="preserve"> found that among individual modalities, MRI had the highest predictive accuracy (67%) which increased by 9% to 76% when combined with PIB-PET, producing the highest accuracy among any biomarker combination. Individually, </w:t>
            </w:r>
            <w:r w:rsidRPr="00D16865">
              <w:rPr>
                <w:rFonts w:cs="AdvTT5235d5a9"/>
                <w:vertAlign w:val="superscript"/>
                <w:lang w:val="en-US"/>
              </w:rPr>
              <w:t>11</w:t>
            </w:r>
            <w:r w:rsidRPr="00D16865">
              <w:rPr>
                <w:rFonts w:cs="AdvTT5235d5a9"/>
                <w:lang w:val="en-US"/>
              </w:rPr>
              <w:t>C-PIB PET</w:t>
            </w:r>
            <w:r w:rsidRPr="00D16865">
              <w:rPr>
                <w:rFonts w:cs="AdvOT863180fb"/>
                <w:lang w:val="en-US"/>
              </w:rPr>
              <w:t xml:space="preserve"> generated the best sensitivity, and </w:t>
            </w:r>
            <w:r w:rsidRPr="00D16865">
              <w:rPr>
                <w:vertAlign w:val="superscript"/>
                <w:lang w:val="en-US"/>
              </w:rPr>
              <w:t>18</w:t>
            </w:r>
            <w:r w:rsidRPr="00D16865">
              <w:rPr>
                <w:lang w:val="en-US"/>
              </w:rPr>
              <w:t xml:space="preserve">F-FDG PET </w:t>
            </w:r>
            <w:r w:rsidRPr="00D16865">
              <w:rPr>
                <w:rFonts w:cs="AdvOT863180fb"/>
                <w:lang w:val="en-US"/>
              </w:rPr>
              <w:t xml:space="preserve">had the lowest. Among individual brain regions, the temporal cortex was found to be most predictive for MRI and </w:t>
            </w:r>
            <w:r w:rsidRPr="00D16865">
              <w:rPr>
                <w:rFonts w:cs="AdvTT5235d5a9"/>
                <w:vertAlign w:val="superscript"/>
                <w:lang w:val="en-US"/>
              </w:rPr>
              <w:t>11</w:t>
            </w:r>
            <w:r w:rsidRPr="00D16865">
              <w:rPr>
                <w:rFonts w:cs="AdvTT5235d5a9"/>
                <w:lang w:val="en-US"/>
              </w:rPr>
              <w:t>C-PIB PET</w:t>
            </w:r>
            <w:r w:rsidRPr="00D16865">
              <w:rPr>
                <w:rFonts w:cs="AdvOT863180fb"/>
                <w:lang w:val="en-US"/>
              </w:rPr>
              <w:t xml:space="preserve">. </w:t>
            </w:r>
          </w:p>
        </w:tc>
      </w:tr>
      <w:tr w:rsidR="00F65FCD" w:rsidRPr="00D16865" w:rsidTr="0031616E">
        <w:tc>
          <w:tcPr>
            <w:tcW w:w="13948" w:type="dxa"/>
            <w:gridSpan w:val="2"/>
          </w:tcPr>
          <w:p w:rsidR="00F65FCD" w:rsidRPr="00D16865" w:rsidRDefault="00F65FCD">
            <w:pPr>
              <w:rPr>
                <w:b/>
                <w:lang w:val="en-US"/>
              </w:rPr>
            </w:pPr>
          </w:p>
        </w:tc>
      </w:tr>
      <w:tr w:rsidR="00DA4731" w:rsidRPr="00D16865" w:rsidTr="0031616E">
        <w:tc>
          <w:tcPr>
            <w:tcW w:w="13948" w:type="dxa"/>
            <w:gridSpan w:val="2"/>
          </w:tcPr>
          <w:p w:rsidR="00DA4731" w:rsidRPr="00D16865" w:rsidRDefault="00EB6DD4">
            <w:pPr>
              <w:rPr>
                <w:b/>
                <w:lang w:val="en-US"/>
              </w:rPr>
            </w:pPr>
            <w:r w:rsidRPr="00D16865">
              <w:rPr>
                <w:b/>
                <w:lang w:val="en-US"/>
              </w:rPr>
              <w:t>Young 2013</w:t>
            </w:r>
          </w:p>
        </w:tc>
      </w:tr>
      <w:tr w:rsidR="00EB6DD4" w:rsidRPr="00D16865" w:rsidTr="0031616E">
        <w:tc>
          <w:tcPr>
            <w:tcW w:w="2771" w:type="dxa"/>
          </w:tcPr>
          <w:p w:rsidR="00EB6DD4" w:rsidRPr="00D16865" w:rsidRDefault="00EB6DD4" w:rsidP="009A3E78">
            <w:pPr>
              <w:rPr>
                <w:b/>
                <w:lang w:val="en-US"/>
              </w:rPr>
            </w:pPr>
            <w:r w:rsidRPr="00D16865">
              <w:rPr>
                <w:b/>
                <w:lang w:val="en-US"/>
              </w:rPr>
              <w:t>Patient sampling</w:t>
            </w:r>
          </w:p>
        </w:tc>
        <w:tc>
          <w:tcPr>
            <w:tcW w:w="11177" w:type="dxa"/>
          </w:tcPr>
          <w:p w:rsidR="00EB6DD4" w:rsidRPr="00D16865" w:rsidRDefault="00EB6DD4" w:rsidP="009A3E78">
            <w:pPr>
              <w:contextualSpacing/>
              <w:rPr>
                <w:lang w:val="en-US"/>
              </w:rPr>
            </w:pPr>
            <w:r w:rsidRPr="00D16865">
              <w:rPr>
                <w:u w:val="single"/>
                <w:lang w:val="en-US"/>
              </w:rPr>
              <w:t>Study design</w:t>
            </w:r>
            <w:r w:rsidR="00015A9D" w:rsidRPr="00D16865">
              <w:rPr>
                <w:lang w:val="en-US"/>
              </w:rPr>
              <w:t xml:space="preserve">: </w:t>
            </w:r>
            <w:r w:rsidR="001F0769" w:rsidRPr="00D16865">
              <w:rPr>
                <w:lang w:val="en-US"/>
              </w:rPr>
              <w:t xml:space="preserve">nested case-control design; </w:t>
            </w:r>
            <w:r w:rsidR="00557B9D" w:rsidRPr="00D16865">
              <w:rPr>
                <w:lang w:val="en-US"/>
              </w:rPr>
              <w:t>retrospective analysis of longitudinal data from ADNI database</w:t>
            </w:r>
          </w:p>
          <w:p w:rsidR="00B46B52" w:rsidRPr="00D16865" w:rsidRDefault="00B46B52" w:rsidP="009A3E78">
            <w:pPr>
              <w:contextualSpacing/>
              <w:rPr>
                <w:lang w:val="en-US"/>
              </w:rPr>
            </w:pPr>
            <w:r w:rsidRPr="00D16865">
              <w:rPr>
                <w:lang w:val="en-US"/>
              </w:rPr>
              <w:t>MCI patients were recruited from ADNI cohort. Sampling process not described</w:t>
            </w:r>
          </w:p>
          <w:p w:rsidR="00EB6DD4" w:rsidRPr="00D16865" w:rsidRDefault="00EB6DD4" w:rsidP="00B46B52">
            <w:pPr>
              <w:pStyle w:val="NormalWeb"/>
              <w:rPr>
                <w:rFonts w:asciiTheme="minorHAnsi" w:hAnsiTheme="minorHAnsi" w:cs="Arial"/>
                <w:sz w:val="22"/>
                <w:szCs w:val="22"/>
                <w:lang w:val="en-US"/>
              </w:rPr>
            </w:pPr>
            <w:r w:rsidRPr="00D16865">
              <w:rPr>
                <w:rFonts w:asciiTheme="minorHAnsi" w:hAnsiTheme="minorHAnsi" w:cs="Arial"/>
                <w:sz w:val="22"/>
                <w:szCs w:val="22"/>
                <w:u w:val="single"/>
                <w:lang w:val="en-US"/>
              </w:rPr>
              <w:t>Exclusion criteria:</w:t>
            </w:r>
            <w:r w:rsidRPr="00D16865">
              <w:rPr>
                <w:rFonts w:asciiTheme="minorHAnsi" w:hAnsiTheme="minorHAnsi" w:cs="Arial"/>
                <w:sz w:val="22"/>
                <w:szCs w:val="22"/>
                <w:lang w:val="en-US"/>
              </w:rPr>
              <w:t xml:space="preserve"> </w:t>
            </w:r>
            <w:r w:rsidR="00B46B52" w:rsidRPr="00D16865">
              <w:rPr>
                <w:rFonts w:asciiTheme="minorHAnsi" w:hAnsiTheme="minorHAnsi" w:cs="Arial"/>
                <w:sz w:val="22"/>
                <w:szCs w:val="22"/>
                <w:lang w:val="en-US"/>
              </w:rPr>
              <w:t>not reported</w:t>
            </w:r>
          </w:p>
        </w:tc>
      </w:tr>
      <w:tr w:rsidR="00EB6DD4" w:rsidRPr="00D16865" w:rsidTr="0031616E">
        <w:tc>
          <w:tcPr>
            <w:tcW w:w="2771" w:type="dxa"/>
          </w:tcPr>
          <w:p w:rsidR="00EB6DD4" w:rsidRPr="00D16865" w:rsidRDefault="00EB6DD4" w:rsidP="009A3E78">
            <w:pPr>
              <w:rPr>
                <w:b/>
                <w:lang w:val="en-US"/>
              </w:rPr>
            </w:pPr>
            <w:r w:rsidRPr="00D16865">
              <w:rPr>
                <w:b/>
                <w:lang w:val="en-US"/>
              </w:rPr>
              <w:t>Patient characteristics and settings</w:t>
            </w:r>
          </w:p>
        </w:tc>
        <w:tc>
          <w:tcPr>
            <w:tcW w:w="11177" w:type="dxa"/>
          </w:tcPr>
          <w:p w:rsidR="00EB6DD4" w:rsidRPr="00D16865" w:rsidRDefault="00435C41" w:rsidP="009A3E78">
            <w:pPr>
              <w:spacing w:after="120"/>
              <w:contextualSpacing/>
              <w:rPr>
                <w:rFonts w:eastAsia="Times New Roman" w:cs="Arial"/>
                <w:lang w:val="en-US" w:eastAsia="en-GB"/>
              </w:rPr>
            </w:pPr>
            <w:r w:rsidRPr="00D16865">
              <w:rPr>
                <w:rFonts w:eastAsia="Times New Roman" w:cs="Arial"/>
                <w:lang w:val="en-US" w:eastAsia="en-GB"/>
              </w:rPr>
              <w:t>143</w:t>
            </w:r>
            <w:r w:rsidR="00D52A81" w:rsidRPr="00D16865">
              <w:rPr>
                <w:rFonts w:eastAsia="Times New Roman" w:cs="Arial"/>
                <w:lang w:val="en-US" w:eastAsia="en-GB"/>
              </w:rPr>
              <w:t xml:space="preserve"> MCI patients</w:t>
            </w:r>
            <w:r w:rsidR="00EB6DD4" w:rsidRPr="00D16865">
              <w:rPr>
                <w:rFonts w:eastAsia="Times New Roman" w:cs="Arial"/>
                <w:lang w:val="en-US" w:eastAsia="en-GB"/>
              </w:rPr>
              <w:t xml:space="preserve"> diagnosed by </w:t>
            </w:r>
            <w:r w:rsidR="00D52A81" w:rsidRPr="00D16865">
              <w:rPr>
                <w:rFonts w:eastAsia="Times New Roman" w:cs="Arial"/>
                <w:lang w:val="en-US" w:eastAsia="en-GB"/>
              </w:rPr>
              <w:t>Petersen 2010 criteria</w:t>
            </w:r>
          </w:p>
          <w:p w:rsidR="00EB6DD4" w:rsidRPr="00D16865" w:rsidRDefault="00EB6DD4" w:rsidP="009A3E78">
            <w:pPr>
              <w:spacing w:after="120"/>
              <w:contextualSpacing/>
              <w:rPr>
                <w:rFonts w:eastAsia="Times New Roman" w:cs="Arial"/>
                <w:lang w:val="en-US" w:eastAsia="en-GB"/>
              </w:rPr>
            </w:pPr>
            <w:r w:rsidRPr="00D16865">
              <w:rPr>
                <w:rFonts w:eastAsia="Times New Roman" w:cs="Arial"/>
                <w:u w:val="single"/>
                <w:lang w:val="en-US" w:eastAsia="en-GB"/>
              </w:rPr>
              <w:t xml:space="preserve">Gender: </w:t>
            </w:r>
            <w:r w:rsidR="00D52A81" w:rsidRPr="00D16865">
              <w:rPr>
                <w:rFonts w:eastAsia="Times New Roman" w:cs="Arial"/>
                <w:lang w:val="en-US" w:eastAsia="en-GB"/>
              </w:rPr>
              <w:t xml:space="preserve"> MCI converters 17 women and 30</w:t>
            </w:r>
            <w:r w:rsidRPr="00D16865">
              <w:rPr>
                <w:rFonts w:eastAsia="Times New Roman" w:cs="Arial"/>
                <w:lang w:val="en-US" w:eastAsia="en-GB"/>
              </w:rPr>
              <w:t xml:space="preserve"> men</w:t>
            </w:r>
            <w:r w:rsidR="00D52A81" w:rsidRPr="00D16865">
              <w:rPr>
                <w:rFonts w:eastAsia="Times New Roman" w:cs="Arial"/>
                <w:lang w:val="en-US" w:eastAsia="en-GB"/>
              </w:rPr>
              <w:t>; MCI non-converters 34 women and 62 men</w:t>
            </w:r>
          </w:p>
          <w:p w:rsidR="00EB6DD4" w:rsidRPr="00D16865" w:rsidRDefault="00EB6DD4" w:rsidP="009A3E78">
            <w:pPr>
              <w:spacing w:after="120"/>
              <w:contextualSpacing/>
              <w:rPr>
                <w:rFonts w:eastAsia="Times New Roman" w:cs="Arial"/>
                <w:lang w:val="en-US" w:eastAsia="en-GB"/>
              </w:rPr>
            </w:pPr>
            <w:r w:rsidRPr="00D16865">
              <w:rPr>
                <w:rFonts w:eastAsia="Times New Roman" w:cs="Arial"/>
                <w:u w:val="single"/>
                <w:lang w:val="en-US" w:eastAsia="en-GB"/>
              </w:rPr>
              <w:t>Age</w:t>
            </w:r>
            <w:r w:rsidR="00D52A81" w:rsidRPr="00D16865">
              <w:rPr>
                <w:rFonts w:eastAsia="Times New Roman" w:cs="Arial"/>
                <w:u w:val="single"/>
                <w:lang w:val="en-US" w:eastAsia="en-GB"/>
              </w:rPr>
              <w:t xml:space="preserve"> (y)</w:t>
            </w:r>
            <w:r w:rsidRPr="00D16865">
              <w:rPr>
                <w:rFonts w:eastAsia="Times New Roman" w:cs="Arial"/>
                <w:u w:val="single"/>
                <w:lang w:val="en-US" w:eastAsia="en-GB"/>
              </w:rPr>
              <w:t>:</w:t>
            </w:r>
            <w:r w:rsidRPr="00D16865">
              <w:rPr>
                <w:rFonts w:eastAsia="Times New Roman" w:cs="Arial"/>
                <w:lang w:val="en-US" w:eastAsia="en-GB"/>
              </w:rPr>
              <w:t xml:space="preserve"> MCI converters </w:t>
            </w:r>
            <w:r w:rsidR="00D52A81" w:rsidRPr="00D16865">
              <w:rPr>
                <w:rFonts w:eastAsia="Times New Roman" w:cs="Arial"/>
                <w:lang w:val="en-US" w:eastAsia="en-GB"/>
              </w:rPr>
              <w:t>74.5</w:t>
            </w:r>
            <w:r w:rsidRPr="00D16865">
              <w:rPr>
                <w:rFonts w:eastAsia="Times New Roman" w:cs="Arial"/>
                <w:lang w:val="en-US" w:eastAsia="en-GB"/>
              </w:rPr>
              <w:t>±</w:t>
            </w:r>
            <w:r w:rsidR="00D52A81" w:rsidRPr="00D16865">
              <w:rPr>
                <w:rFonts w:eastAsia="Times New Roman" w:cs="Arial"/>
                <w:lang w:val="en-US" w:eastAsia="en-GB"/>
              </w:rPr>
              <w:t xml:space="preserve">7.4; </w:t>
            </w:r>
            <w:r w:rsidRPr="00D16865">
              <w:rPr>
                <w:rFonts w:eastAsia="Times New Roman" w:cs="Arial"/>
                <w:lang w:val="en-US" w:eastAsia="en-GB"/>
              </w:rPr>
              <w:t xml:space="preserve">non-MCI converters </w:t>
            </w:r>
            <w:r w:rsidR="00D52A81" w:rsidRPr="00D16865">
              <w:rPr>
                <w:rFonts w:eastAsia="Times New Roman" w:cs="Arial"/>
                <w:lang w:val="en-US" w:eastAsia="en-GB"/>
              </w:rPr>
              <w:t>75.6±7.0</w:t>
            </w:r>
          </w:p>
          <w:p w:rsidR="00EB6DD4" w:rsidRPr="00D16865" w:rsidRDefault="00EB6DD4" w:rsidP="009A3E78">
            <w:pPr>
              <w:spacing w:after="120"/>
              <w:contextualSpacing/>
              <w:rPr>
                <w:rFonts w:eastAsia="Times New Roman" w:cs="Arial"/>
                <w:lang w:val="en-US" w:eastAsia="en-GB"/>
              </w:rPr>
            </w:pPr>
            <w:r w:rsidRPr="00D16865">
              <w:rPr>
                <w:rFonts w:eastAsia="Times New Roman" w:cs="Arial"/>
                <w:u w:val="single"/>
                <w:lang w:val="en-US" w:eastAsia="en-GB"/>
              </w:rPr>
              <w:t>APOE ε4 carrier:</w:t>
            </w:r>
            <w:r w:rsidRPr="00D16865">
              <w:rPr>
                <w:rFonts w:eastAsia="Times New Roman" w:cs="Arial"/>
                <w:lang w:val="en-US" w:eastAsia="en-GB"/>
              </w:rPr>
              <w:t xml:space="preserve"> </w:t>
            </w:r>
            <w:r w:rsidR="00D52A81" w:rsidRPr="00D16865">
              <w:rPr>
                <w:rFonts w:eastAsia="Times New Roman" w:cs="Arial"/>
                <w:lang w:val="en-US" w:eastAsia="en-GB"/>
              </w:rPr>
              <w:t>not reported</w:t>
            </w:r>
          </w:p>
          <w:p w:rsidR="00EB6DD4" w:rsidRPr="00D16865" w:rsidRDefault="00EB6DD4" w:rsidP="009A3E78">
            <w:pPr>
              <w:spacing w:after="120"/>
              <w:contextualSpacing/>
              <w:rPr>
                <w:rFonts w:eastAsia="Times New Roman" w:cs="Arial"/>
                <w:lang w:val="en-US" w:eastAsia="en-GB"/>
              </w:rPr>
            </w:pPr>
            <w:r w:rsidRPr="00D16865">
              <w:rPr>
                <w:rFonts w:eastAsia="Times New Roman" w:cs="Arial"/>
                <w:u w:val="single"/>
                <w:lang w:val="en-US" w:eastAsia="en-GB"/>
              </w:rPr>
              <w:t>MMSE:</w:t>
            </w:r>
            <w:r w:rsidRPr="00D16865">
              <w:rPr>
                <w:rFonts w:eastAsia="Times New Roman" w:cs="Arial"/>
                <w:lang w:val="en-US" w:eastAsia="en-GB"/>
              </w:rPr>
              <w:t xml:space="preserve"> </w:t>
            </w:r>
            <w:r w:rsidR="005A3522" w:rsidRPr="00D16865">
              <w:rPr>
                <w:rFonts w:eastAsia="Times New Roman" w:cs="Arial"/>
                <w:lang w:val="en-US" w:eastAsia="en-GB"/>
              </w:rPr>
              <w:t>not reported</w:t>
            </w:r>
          </w:p>
          <w:p w:rsidR="00EB6DD4" w:rsidRPr="00D16865" w:rsidRDefault="00EB6DD4" w:rsidP="009A3E78">
            <w:pPr>
              <w:spacing w:after="120"/>
              <w:contextualSpacing/>
              <w:rPr>
                <w:rFonts w:eastAsia="Times New Roman" w:cs="Arial"/>
                <w:lang w:val="en-US" w:eastAsia="en-GB"/>
              </w:rPr>
            </w:pPr>
            <w:r w:rsidRPr="00D16865">
              <w:rPr>
                <w:rFonts w:eastAsia="Times New Roman" w:cs="Arial"/>
                <w:u w:val="single"/>
                <w:lang w:val="en-US" w:eastAsia="en-GB"/>
              </w:rPr>
              <w:t>Education</w:t>
            </w:r>
            <w:r w:rsidR="001C7711" w:rsidRPr="00D16865">
              <w:rPr>
                <w:rFonts w:eastAsia="Times New Roman" w:cs="Arial"/>
                <w:u w:val="single"/>
                <w:lang w:val="en-US" w:eastAsia="en-GB"/>
              </w:rPr>
              <w:t xml:space="preserve"> (y)</w:t>
            </w:r>
            <w:r w:rsidRPr="00D16865">
              <w:rPr>
                <w:rFonts w:eastAsia="Times New Roman" w:cs="Arial"/>
                <w:u w:val="single"/>
                <w:lang w:val="en-US" w:eastAsia="en-GB"/>
              </w:rPr>
              <w:t>:</w:t>
            </w:r>
            <w:r w:rsidR="005A3522" w:rsidRPr="00D16865">
              <w:rPr>
                <w:rFonts w:eastAsia="Times New Roman" w:cs="Arial"/>
                <w:lang w:val="en-US" w:eastAsia="en-GB"/>
              </w:rPr>
              <w:t xml:space="preserve"> not reported</w:t>
            </w:r>
          </w:p>
          <w:p w:rsidR="00EB6DD4" w:rsidRPr="00D16865" w:rsidRDefault="00EB6DD4" w:rsidP="009A3E78">
            <w:pPr>
              <w:spacing w:after="120"/>
              <w:contextualSpacing/>
              <w:rPr>
                <w:rFonts w:eastAsia="Times New Roman" w:cs="Arial"/>
                <w:lang w:val="en-US" w:eastAsia="en-GB"/>
              </w:rPr>
            </w:pPr>
            <w:r w:rsidRPr="00D16865">
              <w:rPr>
                <w:rFonts w:eastAsia="Times New Roman" w:cs="Arial"/>
                <w:u w:val="single"/>
                <w:lang w:val="en-US" w:eastAsia="en-GB"/>
              </w:rPr>
              <w:t>Sources of referral:</w:t>
            </w:r>
            <w:r w:rsidRPr="00D16865">
              <w:rPr>
                <w:rFonts w:eastAsia="Times New Roman" w:cs="Arial"/>
                <w:lang w:val="en-US" w:eastAsia="en-GB"/>
              </w:rPr>
              <w:t xml:space="preserve"> not reported</w:t>
            </w:r>
          </w:p>
          <w:p w:rsidR="00EB6DD4" w:rsidRPr="00D16865" w:rsidRDefault="00EB6DD4" w:rsidP="0052572B">
            <w:pPr>
              <w:spacing w:after="120"/>
              <w:contextualSpacing/>
              <w:rPr>
                <w:rFonts w:eastAsia="Times New Roman" w:cs="Arial"/>
                <w:lang w:val="en-US" w:eastAsia="en-GB"/>
              </w:rPr>
            </w:pPr>
            <w:r w:rsidRPr="00D16865">
              <w:rPr>
                <w:rFonts w:eastAsia="Times New Roman" w:cs="Arial"/>
                <w:u w:val="single"/>
                <w:lang w:val="en-US" w:eastAsia="en-GB"/>
              </w:rPr>
              <w:t>Setting:</w:t>
            </w:r>
            <w:r w:rsidRPr="00D16865">
              <w:rPr>
                <w:rFonts w:eastAsia="Times New Roman" w:cs="Arial"/>
                <w:lang w:val="en-US" w:eastAsia="en-GB"/>
              </w:rPr>
              <w:t xml:space="preserve"> </w:t>
            </w:r>
            <w:proofErr w:type="spellStart"/>
            <w:r w:rsidR="00962DD1" w:rsidRPr="00D16865">
              <w:rPr>
                <w:rFonts w:eastAsia="Times New Roman" w:cs="Arial"/>
                <w:lang w:val="en-US" w:eastAsia="en-GB"/>
              </w:rPr>
              <w:t>multicentre</w:t>
            </w:r>
            <w:proofErr w:type="spellEnd"/>
            <w:r w:rsidR="00B46B52" w:rsidRPr="00D16865">
              <w:rPr>
                <w:rFonts w:eastAsia="Times New Roman" w:cs="Arial"/>
                <w:lang w:val="en-US" w:eastAsia="en-GB"/>
              </w:rPr>
              <w:t xml:space="preserve"> (across the U.S. and Canada)</w:t>
            </w:r>
          </w:p>
        </w:tc>
      </w:tr>
      <w:tr w:rsidR="00EB6DD4" w:rsidRPr="00D16865" w:rsidTr="0031616E">
        <w:tc>
          <w:tcPr>
            <w:tcW w:w="2771" w:type="dxa"/>
          </w:tcPr>
          <w:p w:rsidR="00EB6DD4" w:rsidRPr="00D16865" w:rsidRDefault="00EB6DD4" w:rsidP="009A3E78">
            <w:pPr>
              <w:rPr>
                <w:b/>
                <w:lang w:val="en-US"/>
              </w:rPr>
            </w:pPr>
            <w:r w:rsidRPr="00D16865">
              <w:rPr>
                <w:b/>
                <w:lang w:val="en-US"/>
              </w:rPr>
              <w:t>Index test</w:t>
            </w:r>
          </w:p>
        </w:tc>
        <w:tc>
          <w:tcPr>
            <w:tcW w:w="11177" w:type="dxa"/>
          </w:tcPr>
          <w:p w:rsidR="00EB6DD4" w:rsidRPr="00D16865" w:rsidRDefault="009F1533" w:rsidP="009A3E78">
            <w:pPr>
              <w:autoSpaceDE w:val="0"/>
              <w:autoSpaceDN w:val="0"/>
              <w:adjustRightInd w:val="0"/>
              <w:rPr>
                <w:rFonts w:cs="Times-Roman"/>
                <w:lang w:val="en-US"/>
              </w:rPr>
            </w:pPr>
            <w:r w:rsidRPr="00D16865">
              <w:rPr>
                <w:rFonts w:cs="Arial"/>
                <w:vertAlign w:val="superscript"/>
                <w:lang w:val="en-US"/>
              </w:rPr>
              <w:t>18</w:t>
            </w:r>
            <w:r w:rsidRPr="00D16865">
              <w:rPr>
                <w:rFonts w:cs="Arial"/>
                <w:lang w:val="en-US"/>
              </w:rPr>
              <w:t xml:space="preserve">F-FDG PET </w:t>
            </w:r>
            <w:r w:rsidR="00EB6DD4" w:rsidRPr="00D16865">
              <w:rPr>
                <w:rFonts w:cs="Times-Roman"/>
                <w:lang w:val="en-US"/>
              </w:rPr>
              <w:t>scan</w:t>
            </w:r>
          </w:p>
          <w:p w:rsidR="0052572B" w:rsidRPr="00D16865" w:rsidRDefault="0052572B" w:rsidP="00A67607">
            <w:pPr>
              <w:autoSpaceDE w:val="0"/>
              <w:autoSpaceDN w:val="0"/>
              <w:adjustRightInd w:val="0"/>
              <w:rPr>
                <w:i/>
                <w:u w:val="single"/>
                <w:lang w:val="en-US"/>
              </w:rPr>
            </w:pPr>
            <w:r w:rsidRPr="00D16865">
              <w:rPr>
                <w:i/>
                <w:u w:val="single"/>
                <w:lang w:val="en-US"/>
              </w:rPr>
              <w:t>Acquisition</w:t>
            </w:r>
          </w:p>
          <w:p w:rsidR="00415F08" w:rsidRPr="00D16865" w:rsidRDefault="00415F08" w:rsidP="00A67607">
            <w:pPr>
              <w:autoSpaceDE w:val="0"/>
              <w:autoSpaceDN w:val="0"/>
              <w:adjustRightInd w:val="0"/>
              <w:rPr>
                <w:lang w:val="en-US"/>
              </w:rPr>
            </w:pPr>
            <w:r w:rsidRPr="00D16865">
              <w:rPr>
                <w:lang w:val="en-US"/>
              </w:rPr>
              <w:t xml:space="preserve">All images were taken from the baseline scan for each included </w:t>
            </w:r>
            <w:proofErr w:type="gramStart"/>
            <w:r w:rsidRPr="00D16865">
              <w:rPr>
                <w:lang w:val="en-US"/>
              </w:rPr>
              <w:t>participants</w:t>
            </w:r>
            <w:proofErr w:type="gramEnd"/>
            <w:r w:rsidRPr="00D16865">
              <w:rPr>
                <w:lang w:val="en-US"/>
              </w:rPr>
              <w:t xml:space="preserve">. Images were acquired by scanning 30–60 min post injection using scanner-specific protocols. </w:t>
            </w:r>
          </w:p>
          <w:p w:rsidR="0052572B" w:rsidRPr="00D16865" w:rsidRDefault="0052572B" w:rsidP="00A67607">
            <w:pPr>
              <w:autoSpaceDE w:val="0"/>
              <w:autoSpaceDN w:val="0"/>
              <w:adjustRightInd w:val="0"/>
              <w:rPr>
                <w:i/>
                <w:u w:val="single"/>
                <w:lang w:val="en-US"/>
              </w:rPr>
            </w:pPr>
            <w:r w:rsidRPr="00D16865">
              <w:rPr>
                <w:i/>
                <w:u w:val="single"/>
                <w:lang w:val="en-US"/>
              </w:rPr>
              <w:lastRenderedPageBreak/>
              <w:t>Data analysis</w:t>
            </w:r>
          </w:p>
          <w:p w:rsidR="0052572B" w:rsidRPr="00D16865" w:rsidRDefault="00415F08" w:rsidP="00A67607">
            <w:pPr>
              <w:autoSpaceDE w:val="0"/>
              <w:autoSpaceDN w:val="0"/>
              <w:adjustRightInd w:val="0"/>
              <w:rPr>
                <w:lang w:val="en-US"/>
              </w:rPr>
            </w:pPr>
            <w:r w:rsidRPr="00D16865">
              <w:rPr>
                <w:lang w:val="en-US"/>
              </w:rPr>
              <w:t>Gaussian process (GP) classification; Support vector machine (SVM) classification</w:t>
            </w:r>
          </w:p>
          <w:p w:rsidR="00C2187A" w:rsidRPr="00D16865" w:rsidRDefault="00A67607" w:rsidP="00415F08">
            <w:pPr>
              <w:rPr>
                <w:lang w:val="en-US"/>
              </w:rPr>
            </w:pPr>
            <w:r w:rsidRPr="00D16865">
              <w:rPr>
                <w:u w:val="single"/>
                <w:lang w:val="en-US"/>
              </w:rPr>
              <w:t>T</w:t>
            </w:r>
            <w:r w:rsidR="00EB6DD4" w:rsidRPr="00D16865">
              <w:rPr>
                <w:u w:val="single"/>
                <w:lang w:val="en-US"/>
              </w:rPr>
              <w:t>hreshold:</w:t>
            </w:r>
            <w:r w:rsidR="001D00E9" w:rsidRPr="00D16865">
              <w:rPr>
                <w:u w:val="single"/>
                <w:lang w:val="en-US"/>
              </w:rPr>
              <w:t xml:space="preserve"> </w:t>
            </w:r>
            <w:r w:rsidR="001D00E9" w:rsidRPr="00D16865">
              <w:rPr>
                <w:lang w:val="en-US"/>
              </w:rPr>
              <w:t>not reported</w:t>
            </w:r>
          </w:p>
        </w:tc>
      </w:tr>
      <w:tr w:rsidR="00EB6DD4" w:rsidRPr="00D16865" w:rsidTr="0031616E">
        <w:tc>
          <w:tcPr>
            <w:tcW w:w="2771" w:type="dxa"/>
          </w:tcPr>
          <w:p w:rsidR="00EB6DD4" w:rsidRPr="00D16865" w:rsidRDefault="00EB6DD4" w:rsidP="009A3E78">
            <w:pPr>
              <w:rPr>
                <w:b/>
                <w:lang w:val="en-US"/>
              </w:rPr>
            </w:pPr>
            <w:r w:rsidRPr="00D16865">
              <w:rPr>
                <w:b/>
                <w:lang w:val="en-US"/>
              </w:rPr>
              <w:lastRenderedPageBreak/>
              <w:t>Target condition</w:t>
            </w:r>
          </w:p>
        </w:tc>
        <w:tc>
          <w:tcPr>
            <w:tcW w:w="11177" w:type="dxa"/>
          </w:tcPr>
          <w:p w:rsidR="00EB6DD4" w:rsidRPr="00D16865" w:rsidRDefault="00EB6DD4" w:rsidP="009A3E78">
            <w:pPr>
              <w:contextualSpacing/>
              <w:rPr>
                <w:lang w:val="en-US"/>
              </w:rPr>
            </w:pPr>
            <w:r w:rsidRPr="00D16865">
              <w:rPr>
                <w:lang w:val="en-US"/>
              </w:rPr>
              <w:t>Target condition: conversion from MCI to Alzheimer’s disease dementia</w:t>
            </w:r>
          </w:p>
          <w:p w:rsidR="00EB6DD4" w:rsidRPr="00D16865" w:rsidRDefault="00EB6DD4" w:rsidP="009A3E78">
            <w:pPr>
              <w:rPr>
                <w:lang w:val="en-US"/>
              </w:rPr>
            </w:pPr>
            <w:r w:rsidRPr="00D16865">
              <w:rPr>
                <w:lang w:val="en-US"/>
              </w:rPr>
              <w:t xml:space="preserve">Reference standard: </w:t>
            </w:r>
            <w:r w:rsidRPr="00D16865">
              <w:rPr>
                <w:rFonts w:eastAsia="Times New Roman" w:cs="Arial"/>
                <w:lang w:val="en-US" w:eastAsia="en-GB"/>
              </w:rPr>
              <w:t>NINCDS-ADRDA and DSM-IV criteria</w:t>
            </w:r>
          </w:p>
        </w:tc>
      </w:tr>
      <w:tr w:rsidR="00EB6DD4" w:rsidRPr="00D16865" w:rsidTr="0031616E">
        <w:tc>
          <w:tcPr>
            <w:tcW w:w="2771" w:type="dxa"/>
          </w:tcPr>
          <w:p w:rsidR="00EB6DD4" w:rsidRPr="00D16865" w:rsidRDefault="00EB6DD4" w:rsidP="009A3E78">
            <w:pPr>
              <w:rPr>
                <w:b/>
                <w:lang w:val="en-US"/>
              </w:rPr>
            </w:pPr>
            <w:r w:rsidRPr="00D16865">
              <w:rPr>
                <w:b/>
                <w:lang w:val="en-US"/>
              </w:rPr>
              <w:t>Flow and timing</w:t>
            </w:r>
          </w:p>
        </w:tc>
        <w:tc>
          <w:tcPr>
            <w:tcW w:w="11177" w:type="dxa"/>
          </w:tcPr>
          <w:p w:rsidR="00EB6DD4" w:rsidRPr="00D16865" w:rsidRDefault="00EB6DD4" w:rsidP="009A3E78">
            <w:pPr>
              <w:spacing w:after="120"/>
              <w:contextualSpacing/>
              <w:rPr>
                <w:rFonts w:eastAsia="Times New Roman" w:cs="Arial"/>
                <w:lang w:val="en-US" w:eastAsia="en-GB"/>
              </w:rPr>
            </w:pPr>
            <w:r w:rsidRPr="00D16865">
              <w:rPr>
                <w:rFonts w:eastAsia="Times New Roman" w:cs="Arial"/>
                <w:lang w:val="en-US" w:eastAsia="en-GB"/>
              </w:rPr>
              <w:t xml:space="preserve">Duration of follow-up: </w:t>
            </w:r>
          </w:p>
          <w:p w:rsidR="00EB6DD4" w:rsidRPr="00D16865" w:rsidRDefault="00EB6DD4" w:rsidP="009A3E78">
            <w:pPr>
              <w:autoSpaceDE w:val="0"/>
              <w:autoSpaceDN w:val="0"/>
              <w:adjustRightInd w:val="0"/>
              <w:rPr>
                <w:rFonts w:eastAsia="Times New Roman" w:cs="Arial"/>
                <w:u w:val="single"/>
                <w:lang w:val="en-US" w:eastAsia="en-GB"/>
              </w:rPr>
            </w:pPr>
            <w:r w:rsidRPr="00D16865">
              <w:rPr>
                <w:rFonts w:eastAsia="Times New Roman" w:cs="Arial"/>
                <w:u w:val="single"/>
                <w:lang w:val="en-US" w:eastAsia="en-GB"/>
              </w:rPr>
              <w:t>Number included in analysis (N=</w:t>
            </w:r>
            <w:r w:rsidR="00435C41" w:rsidRPr="00D16865">
              <w:rPr>
                <w:rFonts w:eastAsia="Times New Roman" w:cs="Arial"/>
                <w:u w:val="single"/>
                <w:lang w:val="en-US" w:eastAsia="en-GB"/>
              </w:rPr>
              <w:t>14</w:t>
            </w:r>
            <w:r w:rsidR="00B66618" w:rsidRPr="00D16865">
              <w:rPr>
                <w:rFonts w:eastAsia="Times New Roman" w:cs="Arial"/>
                <w:u w:val="single"/>
                <w:lang w:val="en-US" w:eastAsia="en-GB"/>
              </w:rPr>
              <w:t>3</w:t>
            </w:r>
            <w:r w:rsidRPr="00D16865">
              <w:rPr>
                <w:rFonts w:eastAsia="Times New Roman" w:cs="Arial"/>
                <w:u w:val="single"/>
                <w:lang w:val="en-US" w:eastAsia="en-GB"/>
              </w:rPr>
              <w:t>)</w:t>
            </w:r>
          </w:p>
          <w:p w:rsidR="00EB6DD4" w:rsidRPr="00D16865" w:rsidRDefault="00EB6DD4" w:rsidP="009A3E78">
            <w:pPr>
              <w:autoSpaceDE w:val="0"/>
              <w:autoSpaceDN w:val="0"/>
              <w:adjustRightInd w:val="0"/>
              <w:rPr>
                <w:rFonts w:cs="AdvTT3713a231"/>
                <w:color w:val="131413"/>
                <w:lang w:val="en-US"/>
              </w:rPr>
            </w:pPr>
            <w:r w:rsidRPr="00D16865">
              <w:rPr>
                <w:rFonts w:eastAsia="Times New Roman" w:cs="Arial"/>
                <w:lang w:val="en-US" w:eastAsia="en-GB"/>
              </w:rPr>
              <w:t xml:space="preserve">At follow-up: </w:t>
            </w:r>
            <w:r w:rsidR="00737B74" w:rsidRPr="00D16865">
              <w:rPr>
                <w:rFonts w:eastAsia="Times New Roman" w:cs="Arial"/>
                <w:lang w:val="en-US" w:eastAsia="en-GB"/>
              </w:rPr>
              <w:t xml:space="preserve">47 </w:t>
            </w:r>
            <w:r w:rsidRPr="00D16865">
              <w:rPr>
                <w:rFonts w:eastAsia="Times New Roman" w:cs="Arial"/>
                <w:lang w:val="en-US" w:eastAsia="en-GB"/>
              </w:rPr>
              <w:t xml:space="preserve">MCI-AD (disease positive); </w:t>
            </w:r>
            <w:r w:rsidR="00737B74" w:rsidRPr="00D16865">
              <w:rPr>
                <w:rFonts w:eastAsia="Times New Roman" w:cs="Arial"/>
                <w:lang w:val="en-US" w:eastAsia="en-GB"/>
              </w:rPr>
              <w:t xml:space="preserve">96 </w:t>
            </w:r>
            <w:r w:rsidRPr="00D16865">
              <w:rPr>
                <w:rFonts w:eastAsia="Times New Roman" w:cs="Arial"/>
                <w:lang w:val="en-US" w:eastAsia="en-GB"/>
              </w:rPr>
              <w:t>MCI-MCI (disease negative</w:t>
            </w:r>
            <w:r w:rsidR="00C2187A" w:rsidRPr="00D16865">
              <w:rPr>
                <w:rFonts w:eastAsia="Times New Roman" w:cs="Arial"/>
                <w:lang w:val="en-US" w:eastAsia="en-GB"/>
              </w:rPr>
              <w:t>)</w:t>
            </w:r>
          </w:p>
          <w:p w:rsidR="00EB6DD4" w:rsidRPr="00D16865" w:rsidRDefault="00EB6DD4" w:rsidP="009A3E78">
            <w:pPr>
              <w:autoSpaceDE w:val="0"/>
              <w:autoSpaceDN w:val="0"/>
              <w:adjustRightInd w:val="0"/>
              <w:rPr>
                <w:rFonts w:cs="AdvTT3713a231"/>
                <w:color w:val="131413"/>
                <w:lang w:val="en-US"/>
              </w:rPr>
            </w:pPr>
            <w:r w:rsidRPr="00D16865">
              <w:rPr>
                <w:rFonts w:cs="AdvTT3713a231"/>
                <w:color w:val="131413"/>
                <w:lang w:val="en-US"/>
              </w:rPr>
              <w:t>Conversion from MCI to ADD</w:t>
            </w:r>
          </w:p>
          <w:p w:rsidR="00737B74" w:rsidRPr="00D16865" w:rsidRDefault="00737B74" w:rsidP="00C2187A">
            <w:pPr>
              <w:autoSpaceDE w:val="0"/>
              <w:autoSpaceDN w:val="0"/>
              <w:adjustRightInd w:val="0"/>
              <w:rPr>
                <w:rFonts w:cs="AdvTT3713a231"/>
                <w:color w:val="131413"/>
                <w:lang w:val="en-US"/>
              </w:rPr>
            </w:pPr>
            <w:r w:rsidRPr="00D16865">
              <w:rPr>
                <w:u w:val="single"/>
                <w:lang w:val="en-US"/>
              </w:rPr>
              <w:t>Gaussian process (GP) classification</w:t>
            </w:r>
            <w:r w:rsidR="00C2187A" w:rsidRPr="00D16865">
              <w:rPr>
                <w:lang w:val="en-US"/>
              </w:rPr>
              <w:t xml:space="preserve"> (Table 5, p741):</w:t>
            </w:r>
          </w:p>
          <w:p w:rsidR="00EB6DD4" w:rsidRPr="00D16865" w:rsidRDefault="00EB6DD4" w:rsidP="009A3E78">
            <w:pPr>
              <w:autoSpaceDE w:val="0"/>
              <w:autoSpaceDN w:val="0"/>
              <w:adjustRightInd w:val="0"/>
              <w:rPr>
                <w:rFonts w:cs="AdvTT3713a231"/>
                <w:color w:val="131413"/>
                <w:lang w:val="en-US"/>
              </w:rPr>
            </w:pPr>
            <w:r w:rsidRPr="00D16865">
              <w:rPr>
                <w:rFonts w:cs="AdvTT3713a231"/>
                <w:color w:val="131413"/>
                <w:lang w:val="en-US"/>
              </w:rPr>
              <w:t>Sensitivity=</w:t>
            </w:r>
            <w:r w:rsidR="00737B74" w:rsidRPr="00D16865">
              <w:rPr>
                <w:rFonts w:cs="AdvTT3713a231"/>
                <w:color w:val="131413"/>
                <w:lang w:val="en-US"/>
              </w:rPr>
              <w:t>66</w:t>
            </w:r>
            <w:r w:rsidRPr="00D16865">
              <w:rPr>
                <w:rFonts w:cs="AdvTT3713a231"/>
                <w:color w:val="131413"/>
                <w:lang w:val="en-US"/>
              </w:rPr>
              <w:t>%; specificity=</w:t>
            </w:r>
            <w:r w:rsidR="00737B74" w:rsidRPr="00D16865">
              <w:rPr>
                <w:rFonts w:cs="AdvTT3713a231"/>
                <w:color w:val="131413"/>
                <w:lang w:val="en-US"/>
              </w:rPr>
              <w:t>64.6</w:t>
            </w:r>
            <w:r w:rsidRPr="00D16865">
              <w:rPr>
                <w:rFonts w:cs="AdvTT3713a231"/>
                <w:color w:val="131413"/>
                <w:lang w:val="en-US"/>
              </w:rPr>
              <w:t>%</w:t>
            </w:r>
          </w:p>
          <w:p w:rsidR="00EB6DD4" w:rsidRPr="00D16865" w:rsidRDefault="00EB6DD4" w:rsidP="009A3E78">
            <w:pPr>
              <w:autoSpaceDE w:val="0"/>
              <w:autoSpaceDN w:val="0"/>
              <w:adjustRightInd w:val="0"/>
              <w:rPr>
                <w:rFonts w:cs="Arial"/>
                <w:lang w:val="en-US"/>
              </w:rPr>
            </w:pPr>
            <w:r w:rsidRPr="00D16865">
              <w:rPr>
                <w:rFonts w:cs="Arial"/>
                <w:lang w:val="en-US"/>
              </w:rPr>
              <w:t>TP=</w:t>
            </w:r>
            <w:r w:rsidR="001F0769" w:rsidRPr="00D16865">
              <w:rPr>
                <w:rFonts w:cs="Arial"/>
                <w:lang w:val="en-US"/>
              </w:rPr>
              <w:t>31</w:t>
            </w:r>
            <w:r w:rsidRPr="00D16865">
              <w:rPr>
                <w:rFonts w:cs="Arial"/>
                <w:lang w:val="en-US"/>
              </w:rPr>
              <w:t>; FP=</w:t>
            </w:r>
            <w:r w:rsidR="001F0769" w:rsidRPr="00D16865">
              <w:rPr>
                <w:rFonts w:cs="Arial"/>
                <w:lang w:val="en-US"/>
              </w:rPr>
              <w:t>34</w:t>
            </w:r>
            <w:r w:rsidRPr="00D16865">
              <w:rPr>
                <w:rFonts w:cs="Arial"/>
                <w:lang w:val="en-US"/>
              </w:rPr>
              <w:t>; FN=</w:t>
            </w:r>
            <w:r w:rsidR="001F0769" w:rsidRPr="00D16865">
              <w:rPr>
                <w:rFonts w:cs="Arial"/>
                <w:lang w:val="en-US"/>
              </w:rPr>
              <w:t>16</w:t>
            </w:r>
            <w:r w:rsidRPr="00D16865">
              <w:rPr>
                <w:rFonts w:cs="Arial"/>
                <w:lang w:val="en-US"/>
              </w:rPr>
              <w:t>; TN=</w:t>
            </w:r>
            <w:r w:rsidR="001F0769" w:rsidRPr="00D16865">
              <w:rPr>
                <w:rFonts w:cs="Arial"/>
                <w:lang w:val="en-US"/>
              </w:rPr>
              <w:t>62; PPV=48%; NPV=79%</w:t>
            </w:r>
            <w:r w:rsidRPr="00D16865">
              <w:rPr>
                <w:rFonts w:cs="Arial"/>
                <w:lang w:val="en-US"/>
              </w:rPr>
              <w:t xml:space="preserve"> (Calculated in Revman5)</w:t>
            </w:r>
          </w:p>
          <w:p w:rsidR="00737B74" w:rsidRPr="00D16865" w:rsidRDefault="00737B74" w:rsidP="009A3E78">
            <w:pPr>
              <w:autoSpaceDE w:val="0"/>
              <w:autoSpaceDN w:val="0"/>
              <w:adjustRightInd w:val="0"/>
              <w:rPr>
                <w:rFonts w:cs="AdvTT3713a231"/>
                <w:color w:val="131413"/>
                <w:lang w:val="en-US"/>
              </w:rPr>
            </w:pPr>
            <w:r w:rsidRPr="00D16865">
              <w:rPr>
                <w:u w:val="single"/>
                <w:lang w:val="en-US"/>
              </w:rPr>
              <w:t>SVM classification</w:t>
            </w:r>
            <w:r w:rsidRPr="00D16865">
              <w:rPr>
                <w:lang w:val="en-US"/>
              </w:rPr>
              <w:t xml:space="preserve"> </w:t>
            </w:r>
            <w:r w:rsidR="001F0769" w:rsidRPr="00D16865">
              <w:rPr>
                <w:lang w:val="en-US"/>
              </w:rPr>
              <w:t xml:space="preserve">(Table 6, p741) </w:t>
            </w:r>
          </w:p>
          <w:p w:rsidR="00737B74" w:rsidRPr="00D16865" w:rsidRDefault="00737B74" w:rsidP="00737B74">
            <w:pPr>
              <w:autoSpaceDE w:val="0"/>
              <w:autoSpaceDN w:val="0"/>
              <w:adjustRightInd w:val="0"/>
              <w:rPr>
                <w:rFonts w:cs="AdvTT3713a231"/>
                <w:color w:val="131413"/>
                <w:lang w:val="en-US"/>
              </w:rPr>
            </w:pPr>
            <w:r w:rsidRPr="00D16865">
              <w:rPr>
                <w:rFonts w:cs="AdvTT3713a231"/>
                <w:color w:val="131413"/>
                <w:lang w:val="en-US"/>
              </w:rPr>
              <w:t>Sensitivity=</w:t>
            </w:r>
            <w:r w:rsidR="00B66618" w:rsidRPr="00D16865">
              <w:rPr>
                <w:rFonts w:cs="AdvTT3713a231"/>
                <w:color w:val="131413"/>
                <w:lang w:val="en-US"/>
              </w:rPr>
              <w:t>55.3%; specificity=71.1</w:t>
            </w:r>
            <w:r w:rsidRPr="00D16865">
              <w:rPr>
                <w:rFonts w:cs="AdvTT3713a231"/>
                <w:color w:val="131413"/>
                <w:lang w:val="en-US"/>
              </w:rPr>
              <w:t>%</w:t>
            </w:r>
          </w:p>
          <w:p w:rsidR="00EB6DD4" w:rsidRPr="00D16865" w:rsidRDefault="00737B74" w:rsidP="00B66618">
            <w:pPr>
              <w:autoSpaceDE w:val="0"/>
              <w:autoSpaceDN w:val="0"/>
              <w:adjustRightInd w:val="0"/>
              <w:rPr>
                <w:rFonts w:cs="Arial"/>
                <w:lang w:val="en-US"/>
              </w:rPr>
            </w:pPr>
            <w:r w:rsidRPr="00D16865">
              <w:rPr>
                <w:rFonts w:cs="Arial"/>
                <w:lang w:val="en-US"/>
              </w:rPr>
              <w:t>TP=</w:t>
            </w:r>
            <w:r w:rsidR="00B66618" w:rsidRPr="00D16865">
              <w:rPr>
                <w:rFonts w:cs="Arial"/>
                <w:lang w:val="en-US"/>
              </w:rPr>
              <w:t>26; FP=22;</w:t>
            </w:r>
            <w:r w:rsidRPr="00D16865">
              <w:rPr>
                <w:rFonts w:cs="Arial"/>
                <w:lang w:val="en-US"/>
              </w:rPr>
              <w:t xml:space="preserve"> FN=</w:t>
            </w:r>
            <w:r w:rsidR="00B66618" w:rsidRPr="00D16865">
              <w:rPr>
                <w:rFonts w:cs="Arial"/>
                <w:lang w:val="en-US"/>
              </w:rPr>
              <w:t>21</w:t>
            </w:r>
            <w:r w:rsidRPr="00D16865">
              <w:rPr>
                <w:rFonts w:cs="Arial"/>
                <w:lang w:val="en-US"/>
              </w:rPr>
              <w:t>; TN=</w:t>
            </w:r>
            <w:r w:rsidR="00B66618" w:rsidRPr="00D16865">
              <w:rPr>
                <w:rFonts w:cs="Arial"/>
                <w:lang w:val="en-US"/>
              </w:rPr>
              <w:t>74; PPV=54%; NPV=78</w:t>
            </w:r>
            <w:r w:rsidR="007E65FD" w:rsidRPr="00D16865">
              <w:rPr>
                <w:rFonts w:cs="Arial"/>
                <w:lang w:val="en-US"/>
              </w:rPr>
              <w:t>%</w:t>
            </w:r>
            <w:r w:rsidRPr="00D16865">
              <w:rPr>
                <w:rFonts w:cs="Arial"/>
                <w:lang w:val="en-US"/>
              </w:rPr>
              <w:t xml:space="preserve"> (Calculated in Revman5)</w:t>
            </w:r>
          </w:p>
        </w:tc>
      </w:tr>
      <w:tr w:rsidR="007E65FD" w:rsidRPr="00D16865" w:rsidTr="0031616E">
        <w:tc>
          <w:tcPr>
            <w:tcW w:w="13948" w:type="dxa"/>
            <w:gridSpan w:val="2"/>
          </w:tcPr>
          <w:p w:rsidR="007E65FD" w:rsidRPr="00D16865" w:rsidRDefault="007E65FD">
            <w:pPr>
              <w:rPr>
                <w:b/>
                <w:lang w:val="en-US"/>
              </w:rPr>
            </w:pPr>
            <w:r w:rsidRPr="00D16865">
              <w:rPr>
                <w:b/>
                <w:lang w:val="en-US"/>
              </w:rPr>
              <w:t>Note</w:t>
            </w:r>
            <w:r w:rsidR="00284F24" w:rsidRPr="00D16865">
              <w:rPr>
                <w:b/>
                <w:lang w:val="en-US"/>
              </w:rPr>
              <w:t>s</w:t>
            </w:r>
          </w:p>
          <w:p w:rsidR="007E65FD" w:rsidRPr="00D16865" w:rsidRDefault="005D0045">
            <w:pPr>
              <w:rPr>
                <w:lang w:val="en-US"/>
              </w:rPr>
            </w:pPr>
            <w:r w:rsidRPr="00D16865">
              <w:rPr>
                <w:b/>
                <w:lang w:val="en-US"/>
              </w:rPr>
              <w:t xml:space="preserve">Objective: </w:t>
            </w:r>
            <w:r w:rsidR="007E65FD" w:rsidRPr="00D16865">
              <w:rPr>
                <w:lang w:val="en-US"/>
              </w:rPr>
              <w:t>to evaluate the accuracy of multimodal probabilistic prediction of conversion to AD dementia in patients with MCI</w:t>
            </w:r>
          </w:p>
          <w:p w:rsidR="00C760AE" w:rsidRPr="00D16865" w:rsidRDefault="00F65FCD">
            <w:pPr>
              <w:rPr>
                <w:lang w:val="en-US"/>
              </w:rPr>
            </w:pPr>
            <w:r w:rsidRPr="00D16865">
              <w:rPr>
                <w:b/>
                <w:lang w:val="en-US"/>
              </w:rPr>
              <w:t>Conclusion</w:t>
            </w:r>
          </w:p>
          <w:p w:rsidR="007E65FD" w:rsidRPr="00D16865" w:rsidRDefault="007E65FD">
            <w:pPr>
              <w:rPr>
                <w:i/>
                <w:lang w:val="en-US"/>
              </w:rPr>
            </w:pPr>
            <w:r w:rsidRPr="00D16865">
              <w:rPr>
                <w:lang w:val="en-US"/>
              </w:rPr>
              <w:t>“</w:t>
            </w:r>
            <w:r w:rsidR="007459C6" w:rsidRPr="00D16865">
              <w:rPr>
                <w:i/>
                <w:lang w:val="en-US"/>
              </w:rPr>
              <w:t>Multimodal Gau</w:t>
            </w:r>
            <w:r w:rsidRPr="00D16865">
              <w:rPr>
                <w:i/>
                <w:lang w:val="en-US"/>
              </w:rPr>
              <w:t xml:space="preserve">ssian process </w:t>
            </w:r>
            <w:r w:rsidR="008A12F9" w:rsidRPr="00D16865">
              <w:rPr>
                <w:i/>
                <w:lang w:val="en-US"/>
              </w:rPr>
              <w:t xml:space="preserve">(GP) </w:t>
            </w:r>
            <w:r w:rsidRPr="00D16865">
              <w:rPr>
                <w:i/>
                <w:lang w:val="en-US"/>
              </w:rPr>
              <w:t xml:space="preserve">classifiers can be successfully applied to the prediction of conversion to AD dementia in MCI patients. Prediction of conversion is significantly better for multimodal </w:t>
            </w:r>
            <w:r w:rsidR="003776BF" w:rsidRPr="00D16865">
              <w:rPr>
                <w:i/>
                <w:lang w:val="en-US"/>
              </w:rPr>
              <w:t>classification than for any single modality, and also better for GP to SVM classification, largely due to the GP’s superior ability to exploit multimodal data</w:t>
            </w:r>
            <w:r w:rsidR="00A67607" w:rsidRPr="00D16865">
              <w:rPr>
                <w:i/>
                <w:lang w:val="en-US"/>
              </w:rPr>
              <w:t>”</w:t>
            </w:r>
            <w:r w:rsidR="00A67607" w:rsidRPr="00D16865">
              <w:rPr>
                <w:lang w:val="en-US"/>
              </w:rPr>
              <w:t xml:space="preserve"> (p744)</w:t>
            </w:r>
            <w:r w:rsidR="003776BF" w:rsidRPr="00D16865">
              <w:rPr>
                <w:i/>
                <w:lang w:val="en-US"/>
              </w:rPr>
              <w:t>.</w:t>
            </w:r>
          </w:p>
          <w:p w:rsidR="007E65FD" w:rsidRPr="00D16865" w:rsidRDefault="00B66618" w:rsidP="004D641C">
            <w:pPr>
              <w:autoSpaceDE w:val="0"/>
              <w:autoSpaceDN w:val="0"/>
              <w:adjustRightInd w:val="0"/>
              <w:rPr>
                <w:lang w:val="en-US"/>
              </w:rPr>
            </w:pPr>
            <w:r w:rsidRPr="00D16865">
              <w:rPr>
                <w:lang w:val="en-US"/>
              </w:rPr>
              <w:t xml:space="preserve">A clear advantage can be seen both for multimodal </w:t>
            </w:r>
            <w:r w:rsidR="003E760F" w:rsidRPr="00D16865">
              <w:rPr>
                <w:lang w:val="en-US"/>
              </w:rPr>
              <w:t>classification</w:t>
            </w:r>
            <w:r w:rsidRPr="00D16865">
              <w:rPr>
                <w:lang w:val="en-US"/>
              </w:rPr>
              <w:t xml:space="preserve"> and for the use of GP classification</w:t>
            </w:r>
            <w:r w:rsidR="004D641C" w:rsidRPr="00D16865">
              <w:rPr>
                <w:lang w:val="en-US"/>
              </w:rPr>
              <w:t xml:space="preserve"> over the more widely used SVM.</w:t>
            </w:r>
          </w:p>
          <w:p w:rsidR="00C760AE" w:rsidRPr="00D16865" w:rsidRDefault="00C760AE" w:rsidP="004D641C">
            <w:pPr>
              <w:autoSpaceDE w:val="0"/>
              <w:autoSpaceDN w:val="0"/>
              <w:adjustRightInd w:val="0"/>
              <w:rPr>
                <w:lang w:val="en-US"/>
              </w:rPr>
            </w:pPr>
          </w:p>
        </w:tc>
      </w:tr>
    </w:tbl>
    <w:p w:rsidR="0031616E" w:rsidRPr="00D16865" w:rsidRDefault="0031616E" w:rsidP="00A954AF">
      <w:pPr>
        <w:spacing w:line="240" w:lineRule="auto"/>
        <w:contextualSpacing/>
        <w:rPr>
          <w:rFonts w:cs="Arial"/>
          <w:lang w:val="en-US"/>
        </w:rPr>
      </w:pPr>
    </w:p>
    <w:p w:rsidR="009F1533" w:rsidRPr="00D16865" w:rsidRDefault="0082003D" w:rsidP="00A954AF">
      <w:pPr>
        <w:spacing w:line="240" w:lineRule="auto"/>
        <w:contextualSpacing/>
        <w:rPr>
          <w:rFonts w:cs="Arial"/>
          <w:lang w:val="en-US"/>
        </w:rPr>
      </w:pPr>
      <w:r w:rsidRPr="00D16865">
        <w:rPr>
          <w:rFonts w:cs="Arial"/>
          <w:lang w:val="en-US"/>
        </w:rPr>
        <w:t>ADNI</w:t>
      </w:r>
      <w:r w:rsidR="004C661D">
        <w:rPr>
          <w:rFonts w:cs="Arial"/>
          <w:lang w:val="en-US"/>
        </w:rPr>
        <w:t>,</w:t>
      </w:r>
      <w:r w:rsidRPr="00D16865">
        <w:rPr>
          <w:rFonts w:cs="Arial"/>
          <w:lang w:val="en-US"/>
        </w:rPr>
        <w:t xml:space="preserve"> </w:t>
      </w:r>
      <w:r w:rsidRPr="00D16865">
        <w:rPr>
          <w:lang w:val="en-US"/>
        </w:rPr>
        <w:t>Alzheimer’s disease Neuroimaging Initiative</w:t>
      </w:r>
      <w:r w:rsidR="004C661D">
        <w:rPr>
          <w:lang w:val="en-US"/>
        </w:rPr>
        <w:t>;</w:t>
      </w:r>
      <w:r w:rsidRPr="00D16865">
        <w:rPr>
          <w:rFonts w:cs="Arial"/>
          <w:lang w:val="en-US"/>
        </w:rPr>
        <w:t xml:space="preserve"> </w:t>
      </w:r>
      <w:r w:rsidRPr="00D16865">
        <w:rPr>
          <w:rFonts w:cs="Arial"/>
          <w:vertAlign w:val="superscript"/>
          <w:lang w:val="en-US"/>
        </w:rPr>
        <w:t>18</w:t>
      </w:r>
      <w:r w:rsidRPr="00D16865">
        <w:rPr>
          <w:rFonts w:cs="Arial"/>
          <w:lang w:val="en-US"/>
        </w:rPr>
        <w:t>F-FDG PET</w:t>
      </w:r>
      <w:r w:rsidR="004C661D">
        <w:rPr>
          <w:rFonts w:cs="Arial"/>
          <w:lang w:val="en-US"/>
        </w:rPr>
        <w:t>,</w:t>
      </w:r>
      <w:r w:rsidRPr="00D16865">
        <w:rPr>
          <w:rFonts w:cs="Arial"/>
          <w:lang w:val="en-US"/>
        </w:rPr>
        <w:t xml:space="preserve"> Fluorine-18-2-fluoro-2-deoxy-D-glucose positron emission tomography</w:t>
      </w:r>
      <w:r w:rsidR="004C661D">
        <w:rPr>
          <w:rFonts w:cs="Arial"/>
          <w:lang w:val="en-US"/>
        </w:rPr>
        <w:t>;</w:t>
      </w:r>
      <w:r w:rsidRPr="00D16865">
        <w:rPr>
          <w:rFonts w:cs="Arial"/>
          <w:lang w:val="en-US"/>
        </w:rPr>
        <w:t xml:space="preserve"> MCI</w:t>
      </w:r>
      <w:r w:rsidR="004C661D">
        <w:rPr>
          <w:rFonts w:cs="Arial"/>
          <w:lang w:val="en-US"/>
        </w:rPr>
        <w:t>,</w:t>
      </w:r>
      <w:r w:rsidRPr="00D16865">
        <w:rPr>
          <w:rFonts w:cs="Arial"/>
          <w:lang w:val="en-US"/>
        </w:rPr>
        <w:t xml:space="preserve"> mild cognitive impairment</w:t>
      </w:r>
      <w:r w:rsidR="004C661D">
        <w:rPr>
          <w:rFonts w:cs="Arial"/>
          <w:lang w:val="en-US"/>
        </w:rPr>
        <w:t>;</w:t>
      </w:r>
      <w:r w:rsidRPr="00D16865">
        <w:rPr>
          <w:rFonts w:cs="Arial"/>
          <w:lang w:val="en-US"/>
        </w:rPr>
        <w:t xml:space="preserve"> AD</w:t>
      </w:r>
      <w:r w:rsidR="004C661D">
        <w:rPr>
          <w:rFonts w:cs="Arial"/>
          <w:lang w:val="en-US"/>
        </w:rPr>
        <w:t>,</w:t>
      </w:r>
      <w:r w:rsidRPr="00D16865">
        <w:rPr>
          <w:rFonts w:cs="Arial"/>
          <w:lang w:val="en-US"/>
        </w:rPr>
        <w:t xml:space="preserve"> Alzheimer’s disease</w:t>
      </w:r>
      <w:r w:rsidR="004C661D">
        <w:rPr>
          <w:rFonts w:cs="Arial"/>
          <w:lang w:val="en-US"/>
        </w:rPr>
        <w:t>;</w:t>
      </w:r>
      <w:r w:rsidRPr="00D16865">
        <w:rPr>
          <w:rFonts w:cs="Arial"/>
          <w:lang w:val="en-US"/>
        </w:rPr>
        <w:t xml:space="preserve"> APOE</w:t>
      </w:r>
      <w:r w:rsidR="004C661D">
        <w:rPr>
          <w:rFonts w:cs="Arial"/>
          <w:lang w:val="en-US"/>
        </w:rPr>
        <w:t>,</w:t>
      </w:r>
      <w:r w:rsidRPr="00D16865">
        <w:rPr>
          <w:rFonts w:cs="Arial"/>
          <w:lang w:val="en-US"/>
        </w:rPr>
        <w:t xml:space="preserve"> </w:t>
      </w:r>
      <w:r w:rsidRPr="00D16865">
        <w:rPr>
          <w:rStyle w:val="Strong"/>
          <w:rFonts w:cs="Arial"/>
          <w:b w:val="0"/>
          <w:lang w:val="en-US"/>
        </w:rPr>
        <w:t>apolipoprotein E</w:t>
      </w:r>
      <w:r w:rsidR="004C661D">
        <w:rPr>
          <w:rStyle w:val="Strong"/>
          <w:rFonts w:cs="Arial"/>
          <w:b w:val="0"/>
          <w:lang w:val="en-US"/>
        </w:rPr>
        <w:t>;</w:t>
      </w:r>
      <w:r w:rsidRPr="00D16865">
        <w:rPr>
          <w:rStyle w:val="Strong"/>
          <w:rFonts w:cs="Arial"/>
          <w:b w:val="0"/>
          <w:lang w:val="en-US"/>
        </w:rPr>
        <w:t xml:space="preserve"> MMSE</w:t>
      </w:r>
      <w:r w:rsidR="004C661D">
        <w:rPr>
          <w:rStyle w:val="Strong"/>
          <w:rFonts w:cs="Arial"/>
          <w:b w:val="0"/>
          <w:lang w:val="en-US"/>
        </w:rPr>
        <w:t>,</w:t>
      </w:r>
      <w:r w:rsidRPr="00D16865">
        <w:rPr>
          <w:rStyle w:val="Strong"/>
          <w:rFonts w:cs="Arial"/>
          <w:b w:val="0"/>
          <w:lang w:val="en-US"/>
        </w:rPr>
        <w:t xml:space="preserve"> </w:t>
      </w:r>
      <w:r w:rsidR="004C661D" w:rsidRPr="00D16865">
        <w:rPr>
          <w:rStyle w:val="Strong"/>
          <w:rFonts w:cs="Arial"/>
          <w:b w:val="0"/>
          <w:lang w:val="en-US"/>
        </w:rPr>
        <w:t>Mini</w:t>
      </w:r>
      <w:r w:rsidR="004C661D">
        <w:rPr>
          <w:rStyle w:val="Strong"/>
          <w:rFonts w:cs="Arial"/>
          <w:b w:val="0"/>
          <w:lang w:val="en-US"/>
        </w:rPr>
        <w:t>-</w:t>
      </w:r>
      <w:r w:rsidR="004C661D" w:rsidRPr="00D16865">
        <w:rPr>
          <w:rStyle w:val="Strong"/>
          <w:rFonts w:cs="Arial"/>
          <w:b w:val="0"/>
          <w:lang w:val="en-US"/>
        </w:rPr>
        <w:t>Mental State Examination</w:t>
      </w:r>
      <w:r w:rsidR="004C661D">
        <w:rPr>
          <w:rStyle w:val="Strong"/>
          <w:rFonts w:cs="Arial"/>
          <w:b w:val="0"/>
          <w:lang w:val="en-US"/>
        </w:rPr>
        <w:t>;</w:t>
      </w:r>
      <w:r w:rsidRPr="00D16865">
        <w:rPr>
          <w:rStyle w:val="Strong"/>
          <w:rFonts w:cs="Arial"/>
          <w:b w:val="0"/>
          <w:lang w:val="en-US"/>
        </w:rPr>
        <w:t xml:space="preserve"> </w:t>
      </w:r>
      <w:r w:rsidR="005725E7" w:rsidRPr="00D16865">
        <w:rPr>
          <w:rFonts w:cs="Arial"/>
          <w:lang w:val="en-US"/>
        </w:rPr>
        <w:t>NINCDS-ADRDA</w:t>
      </w:r>
      <w:r w:rsidR="004C661D">
        <w:rPr>
          <w:rFonts w:cs="Arial"/>
          <w:lang w:val="en-US"/>
        </w:rPr>
        <w:t>,</w:t>
      </w:r>
      <w:r w:rsidR="005725E7" w:rsidRPr="00D16865">
        <w:rPr>
          <w:rFonts w:cs="Arial"/>
          <w:lang w:val="en-US"/>
        </w:rPr>
        <w:t xml:space="preserve"> National Institute of Neurological and Communicative Disorders and Stroke and the Alzheimer's Disease an</w:t>
      </w:r>
      <w:r w:rsidR="004C661D">
        <w:rPr>
          <w:rFonts w:cs="Arial"/>
          <w:lang w:val="en-US"/>
        </w:rPr>
        <w:t>d Related Disorders Association;</w:t>
      </w:r>
      <w:r w:rsidR="005725E7" w:rsidRPr="00D16865">
        <w:rPr>
          <w:rFonts w:cs="Arial"/>
          <w:lang w:val="en-US"/>
        </w:rPr>
        <w:t xml:space="preserve"> AUC</w:t>
      </w:r>
      <w:r w:rsidR="004C661D">
        <w:rPr>
          <w:rFonts w:cs="Arial"/>
          <w:lang w:val="en-US"/>
        </w:rPr>
        <w:t>,</w:t>
      </w:r>
      <w:r w:rsidR="005725E7" w:rsidRPr="00D16865">
        <w:rPr>
          <w:rFonts w:cs="Arial"/>
          <w:lang w:val="en-US"/>
        </w:rPr>
        <w:t xml:space="preserve"> area under curve</w:t>
      </w:r>
      <w:r w:rsidR="004C661D">
        <w:rPr>
          <w:rFonts w:cs="Arial"/>
          <w:lang w:val="en-US"/>
        </w:rPr>
        <w:t>;</w:t>
      </w:r>
      <w:r w:rsidR="005725E7" w:rsidRPr="00D16865">
        <w:rPr>
          <w:rFonts w:cs="Arial"/>
          <w:lang w:val="en-US"/>
        </w:rPr>
        <w:t xml:space="preserve"> </w:t>
      </w:r>
      <w:r w:rsidR="009F1533" w:rsidRPr="00D16865">
        <w:rPr>
          <w:rFonts w:cs="Arial"/>
          <w:lang w:val="en-US"/>
        </w:rPr>
        <w:t>MRI</w:t>
      </w:r>
      <w:r w:rsidR="004C661D">
        <w:rPr>
          <w:rFonts w:cs="Arial"/>
          <w:lang w:val="en-US"/>
        </w:rPr>
        <w:t>,</w:t>
      </w:r>
      <w:r w:rsidR="009F1533" w:rsidRPr="00D16865">
        <w:rPr>
          <w:rFonts w:cs="Arial"/>
          <w:lang w:val="en-US"/>
        </w:rPr>
        <w:t xml:space="preserve"> magnetic resonance imaging</w:t>
      </w:r>
      <w:r w:rsidR="004C661D">
        <w:rPr>
          <w:rFonts w:cs="Arial"/>
          <w:lang w:val="en-US"/>
        </w:rPr>
        <w:t xml:space="preserve">; CSF, </w:t>
      </w:r>
      <w:r w:rsidR="009F1533" w:rsidRPr="00D16865">
        <w:rPr>
          <w:rFonts w:cs="Arial"/>
          <w:lang w:val="en-US"/>
        </w:rPr>
        <w:t>cerebrospinal fluid</w:t>
      </w:r>
      <w:r w:rsidR="004C661D">
        <w:rPr>
          <w:rFonts w:cs="Arial"/>
          <w:lang w:val="en-US"/>
        </w:rPr>
        <w:t>;</w:t>
      </w:r>
      <w:r w:rsidR="009F1533" w:rsidRPr="00D16865">
        <w:rPr>
          <w:rFonts w:cs="Arial"/>
          <w:lang w:val="en-US"/>
        </w:rPr>
        <w:t xml:space="preserve"> </w:t>
      </w:r>
      <w:r w:rsidR="009F1533" w:rsidRPr="00D16865">
        <w:rPr>
          <w:lang w:val="en-US"/>
        </w:rPr>
        <w:t>HCI</w:t>
      </w:r>
      <w:r w:rsidR="004C661D">
        <w:rPr>
          <w:lang w:val="en-US"/>
        </w:rPr>
        <w:t>,</w:t>
      </w:r>
      <w:r w:rsidR="009F1533" w:rsidRPr="00D16865">
        <w:rPr>
          <w:lang w:val="en-US"/>
        </w:rPr>
        <w:t xml:space="preserve"> hypometabolic convergence index</w:t>
      </w:r>
      <w:r w:rsidR="004C661D">
        <w:rPr>
          <w:lang w:val="en-US"/>
        </w:rPr>
        <w:t>;</w:t>
      </w:r>
      <w:r w:rsidR="0065775A" w:rsidRPr="00D16865">
        <w:rPr>
          <w:lang w:val="en-US"/>
        </w:rPr>
        <w:t xml:space="preserve"> ADD</w:t>
      </w:r>
      <w:r w:rsidR="004C661D">
        <w:rPr>
          <w:lang w:val="en-US"/>
        </w:rPr>
        <w:t>,</w:t>
      </w:r>
      <w:r w:rsidR="0065775A" w:rsidRPr="00D16865">
        <w:rPr>
          <w:lang w:val="en-US"/>
        </w:rPr>
        <w:t xml:space="preserve"> Alzheimer’s disease dementia</w:t>
      </w:r>
      <w:r w:rsidR="004C661D">
        <w:rPr>
          <w:lang w:val="en-US"/>
        </w:rPr>
        <w:t>;</w:t>
      </w:r>
      <w:r w:rsidR="0065775A" w:rsidRPr="00D16865">
        <w:rPr>
          <w:lang w:val="en-US"/>
        </w:rPr>
        <w:t xml:space="preserve"> PALZ</w:t>
      </w:r>
      <w:r w:rsidR="004C661D">
        <w:rPr>
          <w:lang w:val="en-US"/>
        </w:rPr>
        <w:t>,</w:t>
      </w:r>
      <w:r w:rsidR="0065775A" w:rsidRPr="00D16865">
        <w:rPr>
          <w:lang w:val="en-US"/>
        </w:rPr>
        <w:t xml:space="preserve"> </w:t>
      </w:r>
      <w:r w:rsidR="0065775A" w:rsidRPr="00D16865">
        <w:rPr>
          <w:rFonts w:cs="Times-Roman"/>
          <w:lang w:val="en-US"/>
        </w:rPr>
        <w:t>Probability of ALZheimer</w:t>
      </w:r>
      <w:r w:rsidR="004C661D">
        <w:rPr>
          <w:rFonts w:cs="Times-Roman"/>
          <w:lang w:val="en-US"/>
        </w:rPr>
        <w:t>;</w:t>
      </w:r>
      <w:r w:rsidR="0065775A" w:rsidRPr="00D16865">
        <w:rPr>
          <w:rFonts w:cs="Arial"/>
          <w:lang w:val="en-US"/>
        </w:rPr>
        <w:t xml:space="preserve"> ROI</w:t>
      </w:r>
      <w:r w:rsidR="004C661D">
        <w:rPr>
          <w:rFonts w:cs="Arial"/>
          <w:lang w:val="en-US"/>
        </w:rPr>
        <w:t>,</w:t>
      </w:r>
      <w:r w:rsidR="0065775A" w:rsidRPr="00D16865">
        <w:rPr>
          <w:rFonts w:cs="Arial"/>
          <w:lang w:val="en-US"/>
        </w:rPr>
        <w:t xml:space="preserve"> region of interest</w:t>
      </w:r>
      <w:r w:rsidR="004C661D">
        <w:rPr>
          <w:rFonts w:cs="Arial"/>
          <w:lang w:val="en-US"/>
        </w:rPr>
        <w:t xml:space="preserve">; SPM, </w:t>
      </w:r>
      <w:r w:rsidR="0065775A" w:rsidRPr="00D16865">
        <w:rPr>
          <w:lang w:val="en-US"/>
        </w:rPr>
        <w:t>statistical parametric map</w:t>
      </w:r>
      <w:r w:rsidR="004C661D">
        <w:rPr>
          <w:lang w:val="en-US"/>
        </w:rPr>
        <w:t>;</w:t>
      </w:r>
      <w:r w:rsidR="0065775A" w:rsidRPr="00D16865">
        <w:rPr>
          <w:lang w:val="en-US"/>
        </w:rPr>
        <w:t xml:space="preserve"> </w:t>
      </w:r>
      <w:r w:rsidR="004C661D">
        <w:rPr>
          <w:rFonts w:cs="Arial"/>
          <w:lang w:val="en-US"/>
        </w:rPr>
        <w:t xml:space="preserve">rCGM, </w:t>
      </w:r>
      <w:r w:rsidR="0065775A" w:rsidRPr="00D16865">
        <w:rPr>
          <w:rFonts w:cs="Arial"/>
          <w:lang w:val="en-US"/>
        </w:rPr>
        <w:t>Regional cerebral glucose metabolism</w:t>
      </w:r>
    </w:p>
    <w:p w:rsidR="00FA1FC6" w:rsidRPr="00D16865" w:rsidRDefault="00FF6AE5" w:rsidP="00A954AF">
      <w:pPr>
        <w:spacing w:line="240" w:lineRule="auto"/>
        <w:contextualSpacing/>
        <w:rPr>
          <w:lang w:val="en-US"/>
        </w:rPr>
      </w:pPr>
      <w:r w:rsidRPr="00D16865">
        <w:rPr>
          <w:lang w:val="en-US"/>
        </w:rPr>
        <w:t>*Study also included in the meta-analysis</w:t>
      </w:r>
    </w:p>
    <w:p w:rsidR="00A15755" w:rsidRPr="00D16865" w:rsidRDefault="00A15755" w:rsidP="00A15755">
      <w:pPr>
        <w:autoSpaceDE w:val="0"/>
        <w:autoSpaceDN w:val="0"/>
        <w:adjustRightInd w:val="0"/>
        <w:spacing w:after="0" w:line="240" w:lineRule="auto"/>
        <w:contextualSpacing/>
        <w:rPr>
          <w:lang w:val="en-US"/>
        </w:rPr>
      </w:pPr>
      <w:r w:rsidRPr="00D16865">
        <w:rPr>
          <w:lang w:val="en-US"/>
        </w:rPr>
        <w:t xml:space="preserve"> </w:t>
      </w:r>
    </w:p>
    <w:p w:rsidR="00A15755" w:rsidRPr="00D16865" w:rsidRDefault="00A15755" w:rsidP="00A15755">
      <w:pPr>
        <w:autoSpaceDE w:val="0"/>
        <w:autoSpaceDN w:val="0"/>
        <w:adjustRightInd w:val="0"/>
        <w:spacing w:after="0" w:line="240" w:lineRule="auto"/>
        <w:contextualSpacing/>
        <w:rPr>
          <w:rFonts w:cs="AGaramond-Regular"/>
          <w:lang w:val="en-US"/>
        </w:rPr>
      </w:pPr>
      <w:r w:rsidRPr="00D16865">
        <w:rPr>
          <w:u w:val="single"/>
          <w:lang w:val="en-US"/>
        </w:rPr>
        <w:t>Notes:</w:t>
      </w:r>
      <w:r w:rsidRPr="00D16865">
        <w:rPr>
          <w:lang w:val="en-US"/>
        </w:rPr>
        <w:t xml:space="preserve"> The objectives in ADNI studies differ. All ADNI studies assessed the accuracy of </w:t>
      </w:r>
      <w:r w:rsidRPr="00D16865">
        <w:rPr>
          <w:vertAlign w:val="superscript"/>
          <w:lang w:val="en-US"/>
        </w:rPr>
        <w:t>18</w:t>
      </w:r>
      <w:r w:rsidRPr="00D16865">
        <w:rPr>
          <w:lang w:val="en-US"/>
        </w:rPr>
        <w:t xml:space="preserve">F-FDG PET as a single test and/or in combinations with a variety of biomarkers and neuropsychological tests for the prediction of MCI conversion to AD; two studies evaluated and validated a voxel-based analysis method of </w:t>
      </w:r>
      <w:r w:rsidRPr="00D16865">
        <w:rPr>
          <w:vertAlign w:val="superscript"/>
          <w:lang w:val="en-US"/>
        </w:rPr>
        <w:lastRenderedPageBreak/>
        <w:t>18</w:t>
      </w:r>
      <w:r w:rsidRPr="00D16865">
        <w:rPr>
          <w:lang w:val="en-US"/>
        </w:rPr>
        <w:t xml:space="preserve">F-FDG PET imaging for conversion to AD (52, 61]; one study examined a </w:t>
      </w:r>
      <w:r w:rsidRPr="00D16865">
        <w:rPr>
          <w:vertAlign w:val="superscript"/>
          <w:lang w:val="en-US"/>
        </w:rPr>
        <w:t>18</w:t>
      </w:r>
      <w:r w:rsidRPr="00D16865">
        <w:rPr>
          <w:lang w:val="en-US"/>
        </w:rPr>
        <w:t xml:space="preserve">F-FDG PET score as a biomarker for progression in MCI and AD [75]; one study compared the predictive accuracy of individual biomarkers, </w:t>
      </w:r>
      <w:r w:rsidRPr="00D16865">
        <w:rPr>
          <w:vertAlign w:val="superscript"/>
          <w:lang w:val="en-US"/>
        </w:rPr>
        <w:t>18</w:t>
      </w:r>
      <w:r w:rsidRPr="00D16865">
        <w:rPr>
          <w:lang w:val="en-US"/>
        </w:rPr>
        <w:t xml:space="preserve">F-FDG PET, MRI and CSF tests, in two different cohort [64]; one study [66] assessed whether combined MRI, </w:t>
      </w:r>
      <w:r w:rsidRPr="00D16865">
        <w:rPr>
          <w:vertAlign w:val="superscript"/>
          <w:lang w:val="en-US"/>
        </w:rPr>
        <w:t>18</w:t>
      </w:r>
      <w:r w:rsidRPr="00D16865">
        <w:rPr>
          <w:lang w:val="en-US"/>
        </w:rPr>
        <w:t>F-FDG PET scan and CSF biomarkers can improve prediction of conversion from MCI to AD when compared with ‘routine clinical test’, which comprised the baseline clinical and cognitive measures (cognitive tests, age, education</w:t>
      </w:r>
      <w:r w:rsidR="004C661D">
        <w:rPr>
          <w:lang w:val="en-US"/>
        </w:rPr>
        <w:t>,</w:t>
      </w:r>
      <w:r w:rsidRPr="00D16865">
        <w:rPr>
          <w:lang w:val="en-US"/>
        </w:rPr>
        <w:t xml:space="preserve"> and ApoE). </w:t>
      </w:r>
    </w:p>
    <w:sectPr w:rsidR="00A15755" w:rsidRPr="00D16865" w:rsidSect="00FA1FC6">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531" w:rsidRDefault="00D65531" w:rsidP="00164962">
      <w:pPr>
        <w:spacing w:after="0" w:line="240" w:lineRule="auto"/>
      </w:pPr>
      <w:r>
        <w:separator/>
      </w:r>
    </w:p>
  </w:endnote>
  <w:endnote w:type="continuationSeparator" w:id="0">
    <w:p w:rsidR="00D65531" w:rsidRDefault="00D65531" w:rsidP="00164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vTT3713a231">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Roman">
    <w:panose1 w:val="020B0604020202020204"/>
    <w:charset w:val="00"/>
    <w:family w:val="swiss"/>
    <w:notTrueType/>
    <w:pitch w:val="default"/>
    <w:sig w:usb0="00000003" w:usb1="00000000" w:usb2="00000000" w:usb3="00000000" w:csb0="00000001" w:csb1="00000000"/>
  </w:font>
  <w:font w:name="AdvPSA88A">
    <w:altName w:val="Times New Roman"/>
    <w:panose1 w:val="020B06040202020202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dvPSSym">
    <w:panose1 w:val="020B0604020202020204"/>
    <w:charset w:val="00"/>
    <w:family w:val="swiss"/>
    <w:notTrueType/>
    <w:pitch w:val="default"/>
    <w:sig w:usb0="00000003" w:usb1="00000000" w:usb2="00000000" w:usb3="00000000" w:csb0="00000001" w:csb1="00000000"/>
  </w:font>
  <w:font w:name="ATBasilia-Roman">
    <w:panose1 w:val="020B0604020202020204"/>
    <w:charset w:val="00"/>
    <w:family w:val="roman"/>
    <w:notTrueType/>
    <w:pitch w:val="default"/>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ATBasilia-Italic">
    <w:panose1 w:val="020B0604020202020204"/>
    <w:charset w:val="00"/>
    <w:family w:val="roman"/>
    <w:notTrueType/>
    <w:pitch w:val="default"/>
    <w:sig w:usb0="00000003" w:usb1="00000000" w:usb2="00000000" w:usb3="00000000" w:csb0="00000001" w:csb1="00000000"/>
  </w:font>
  <w:font w:name="AdvTT5235d5a9">
    <w:panose1 w:val="020B0604020202020204"/>
    <w:charset w:val="00"/>
    <w:family w:val="roman"/>
    <w:notTrueType/>
    <w:pitch w:val="default"/>
    <w:sig w:usb0="00000003" w:usb1="00000000" w:usb2="00000000" w:usb3="00000000" w:csb0="00000001" w:csb1="00000000"/>
  </w:font>
  <w:font w:name="AdvTT5235d5a9+fb">
    <w:panose1 w:val="020B0604020202020204"/>
    <w:charset w:val="00"/>
    <w:family w:val="auto"/>
    <w:notTrueType/>
    <w:pitch w:val="default"/>
    <w:sig w:usb0="00000003" w:usb1="00000000" w:usb2="00000000" w:usb3="00000000" w:csb0="00000001" w:csb1="00000000"/>
  </w:font>
  <w:font w:name="AdvTT94c8263f.I">
    <w:panose1 w:val="020B0604020202020204"/>
    <w:charset w:val="00"/>
    <w:family w:val="roman"/>
    <w:notTrueType/>
    <w:pitch w:val="default"/>
    <w:sig w:usb0="00000003" w:usb1="00000000" w:usb2="00000000" w:usb3="00000000" w:csb0="00000001" w:csb1="00000000"/>
  </w:font>
  <w:font w:name="AdvOT863180fb">
    <w:panose1 w:val="020B0604020202020204"/>
    <w:charset w:val="00"/>
    <w:family w:val="roman"/>
    <w:notTrueType/>
    <w:pitch w:val="default"/>
    <w:sig w:usb0="00000003" w:usb1="00000000" w:usb2="00000000" w:usb3="00000000" w:csb0="00000001" w:csb1="00000000"/>
  </w:font>
  <w:font w:name="AGaramond-Regular">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070532"/>
      <w:docPartObj>
        <w:docPartGallery w:val="Page Numbers (Bottom of Page)"/>
        <w:docPartUnique/>
      </w:docPartObj>
    </w:sdtPr>
    <w:sdtEndPr>
      <w:rPr>
        <w:noProof/>
      </w:rPr>
    </w:sdtEndPr>
    <w:sdtContent>
      <w:p w:rsidR="00D54F4C" w:rsidRDefault="00D54F4C">
        <w:pPr>
          <w:pStyle w:val="Footer"/>
          <w:jc w:val="center"/>
        </w:pPr>
        <w:r>
          <w:fldChar w:fldCharType="begin"/>
        </w:r>
        <w:r>
          <w:instrText xml:space="preserve"> PAGE   \* MERGEFORMAT </w:instrText>
        </w:r>
        <w:r>
          <w:fldChar w:fldCharType="separate"/>
        </w:r>
        <w:r w:rsidR="0031616E">
          <w:rPr>
            <w:noProof/>
          </w:rPr>
          <w:t>19</w:t>
        </w:r>
        <w:r>
          <w:rPr>
            <w:noProof/>
          </w:rPr>
          <w:fldChar w:fldCharType="end"/>
        </w:r>
      </w:p>
    </w:sdtContent>
  </w:sdt>
  <w:p w:rsidR="00D54F4C" w:rsidRDefault="00D54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531" w:rsidRDefault="00D65531" w:rsidP="00164962">
      <w:pPr>
        <w:spacing w:after="0" w:line="240" w:lineRule="auto"/>
      </w:pPr>
      <w:r>
        <w:separator/>
      </w:r>
    </w:p>
  </w:footnote>
  <w:footnote w:type="continuationSeparator" w:id="0">
    <w:p w:rsidR="00D65531" w:rsidRDefault="00D65531" w:rsidP="001649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ED4B1F"/>
    <w:multiLevelType w:val="hybridMultilevel"/>
    <w:tmpl w:val="7A8E40F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647D665E"/>
    <w:multiLevelType w:val="hybridMultilevel"/>
    <w:tmpl w:val="F932B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6F2B80"/>
    <w:multiLevelType w:val="hybridMultilevel"/>
    <w:tmpl w:val="F8E40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F3217F"/>
    <w:multiLevelType w:val="hybridMultilevel"/>
    <w:tmpl w:val="5C4E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1FC6"/>
    <w:rsid w:val="00004DAC"/>
    <w:rsid w:val="00010037"/>
    <w:rsid w:val="00012EDE"/>
    <w:rsid w:val="00013AF7"/>
    <w:rsid w:val="00015A9D"/>
    <w:rsid w:val="00015EFF"/>
    <w:rsid w:val="00026299"/>
    <w:rsid w:val="00030881"/>
    <w:rsid w:val="00061280"/>
    <w:rsid w:val="00086A9D"/>
    <w:rsid w:val="00093889"/>
    <w:rsid w:val="000A343E"/>
    <w:rsid w:val="000A6422"/>
    <w:rsid w:val="000B6480"/>
    <w:rsid w:val="000B712B"/>
    <w:rsid w:val="000C4CEC"/>
    <w:rsid w:val="000D1ED3"/>
    <w:rsid w:val="000D2B3F"/>
    <w:rsid w:val="000E0A46"/>
    <w:rsid w:val="000E0C6A"/>
    <w:rsid w:val="000E2066"/>
    <w:rsid w:val="000E3D6A"/>
    <w:rsid w:val="000E4643"/>
    <w:rsid w:val="000F5046"/>
    <w:rsid w:val="001028B7"/>
    <w:rsid w:val="001065E3"/>
    <w:rsid w:val="001315EC"/>
    <w:rsid w:val="00135B28"/>
    <w:rsid w:val="00154631"/>
    <w:rsid w:val="00162DA8"/>
    <w:rsid w:val="00164962"/>
    <w:rsid w:val="00164AFF"/>
    <w:rsid w:val="001729A8"/>
    <w:rsid w:val="00183948"/>
    <w:rsid w:val="00185101"/>
    <w:rsid w:val="001B245F"/>
    <w:rsid w:val="001C7711"/>
    <w:rsid w:val="001D00E9"/>
    <w:rsid w:val="001D13E8"/>
    <w:rsid w:val="001E1FD2"/>
    <w:rsid w:val="001E2ACB"/>
    <w:rsid w:val="001F0769"/>
    <w:rsid w:val="0020603E"/>
    <w:rsid w:val="00212D02"/>
    <w:rsid w:val="00231F42"/>
    <w:rsid w:val="0027083E"/>
    <w:rsid w:val="00272393"/>
    <w:rsid w:val="00284F24"/>
    <w:rsid w:val="00287AF4"/>
    <w:rsid w:val="002A7BC8"/>
    <w:rsid w:val="002A7F2D"/>
    <w:rsid w:val="002E602C"/>
    <w:rsid w:val="002F02FC"/>
    <w:rsid w:val="002F181E"/>
    <w:rsid w:val="002F4E2C"/>
    <w:rsid w:val="003002BA"/>
    <w:rsid w:val="00303A3C"/>
    <w:rsid w:val="0031616E"/>
    <w:rsid w:val="00332E5E"/>
    <w:rsid w:val="003345DF"/>
    <w:rsid w:val="00360FF9"/>
    <w:rsid w:val="00363A34"/>
    <w:rsid w:val="003776BF"/>
    <w:rsid w:val="003935F2"/>
    <w:rsid w:val="0039501F"/>
    <w:rsid w:val="003A66F8"/>
    <w:rsid w:val="003B5228"/>
    <w:rsid w:val="003C129C"/>
    <w:rsid w:val="003C3808"/>
    <w:rsid w:val="003E4EFD"/>
    <w:rsid w:val="003E760F"/>
    <w:rsid w:val="003F3254"/>
    <w:rsid w:val="003F5560"/>
    <w:rsid w:val="00400FED"/>
    <w:rsid w:val="00402C37"/>
    <w:rsid w:val="004105ED"/>
    <w:rsid w:val="004135CA"/>
    <w:rsid w:val="00415F08"/>
    <w:rsid w:val="00420203"/>
    <w:rsid w:val="00426548"/>
    <w:rsid w:val="00430888"/>
    <w:rsid w:val="00432CAC"/>
    <w:rsid w:val="00432F3C"/>
    <w:rsid w:val="00435C41"/>
    <w:rsid w:val="004409B9"/>
    <w:rsid w:val="0045392B"/>
    <w:rsid w:val="004628D8"/>
    <w:rsid w:val="004A2F2F"/>
    <w:rsid w:val="004A3611"/>
    <w:rsid w:val="004B00E6"/>
    <w:rsid w:val="004C661D"/>
    <w:rsid w:val="004D641C"/>
    <w:rsid w:val="004F7999"/>
    <w:rsid w:val="00500785"/>
    <w:rsid w:val="00502E64"/>
    <w:rsid w:val="0052572B"/>
    <w:rsid w:val="00533096"/>
    <w:rsid w:val="00542DB7"/>
    <w:rsid w:val="005467AB"/>
    <w:rsid w:val="005512A7"/>
    <w:rsid w:val="0055453E"/>
    <w:rsid w:val="00557B9D"/>
    <w:rsid w:val="005605E7"/>
    <w:rsid w:val="00563D11"/>
    <w:rsid w:val="00563FCE"/>
    <w:rsid w:val="005725E7"/>
    <w:rsid w:val="005846DA"/>
    <w:rsid w:val="0058794A"/>
    <w:rsid w:val="005A3522"/>
    <w:rsid w:val="005A77AC"/>
    <w:rsid w:val="005B768F"/>
    <w:rsid w:val="005C299A"/>
    <w:rsid w:val="005D0045"/>
    <w:rsid w:val="005D7A98"/>
    <w:rsid w:val="005E1267"/>
    <w:rsid w:val="005E30E7"/>
    <w:rsid w:val="005E3782"/>
    <w:rsid w:val="005E6EE2"/>
    <w:rsid w:val="005F2B42"/>
    <w:rsid w:val="005F7A97"/>
    <w:rsid w:val="00604787"/>
    <w:rsid w:val="0060764C"/>
    <w:rsid w:val="00613AA8"/>
    <w:rsid w:val="00642816"/>
    <w:rsid w:val="006478E5"/>
    <w:rsid w:val="00650521"/>
    <w:rsid w:val="0065141F"/>
    <w:rsid w:val="0065775A"/>
    <w:rsid w:val="00660D37"/>
    <w:rsid w:val="00674E97"/>
    <w:rsid w:val="006B0115"/>
    <w:rsid w:val="006C5884"/>
    <w:rsid w:val="006C75E5"/>
    <w:rsid w:val="006D0DE4"/>
    <w:rsid w:val="006D107C"/>
    <w:rsid w:val="006E60FC"/>
    <w:rsid w:val="006F0B31"/>
    <w:rsid w:val="006F61FA"/>
    <w:rsid w:val="00710CBF"/>
    <w:rsid w:val="0071703F"/>
    <w:rsid w:val="00734180"/>
    <w:rsid w:val="00737B74"/>
    <w:rsid w:val="00740731"/>
    <w:rsid w:val="007459C6"/>
    <w:rsid w:val="00745BD9"/>
    <w:rsid w:val="00754E7B"/>
    <w:rsid w:val="00757D22"/>
    <w:rsid w:val="0076273B"/>
    <w:rsid w:val="0076572C"/>
    <w:rsid w:val="007743C4"/>
    <w:rsid w:val="0079333D"/>
    <w:rsid w:val="0079713C"/>
    <w:rsid w:val="007A1172"/>
    <w:rsid w:val="007A4320"/>
    <w:rsid w:val="007B1794"/>
    <w:rsid w:val="007B64B3"/>
    <w:rsid w:val="007E65FD"/>
    <w:rsid w:val="007F3F21"/>
    <w:rsid w:val="007F5564"/>
    <w:rsid w:val="008072D5"/>
    <w:rsid w:val="0082003D"/>
    <w:rsid w:val="00825DD6"/>
    <w:rsid w:val="00841578"/>
    <w:rsid w:val="008425EB"/>
    <w:rsid w:val="00844926"/>
    <w:rsid w:val="00867214"/>
    <w:rsid w:val="00867FDC"/>
    <w:rsid w:val="00870C2B"/>
    <w:rsid w:val="00876D30"/>
    <w:rsid w:val="00876DC0"/>
    <w:rsid w:val="008778F3"/>
    <w:rsid w:val="00881B6D"/>
    <w:rsid w:val="008921D3"/>
    <w:rsid w:val="00894B84"/>
    <w:rsid w:val="008A0012"/>
    <w:rsid w:val="008A12F9"/>
    <w:rsid w:val="008B5CE4"/>
    <w:rsid w:val="008C5E16"/>
    <w:rsid w:val="008C6B42"/>
    <w:rsid w:val="008C7774"/>
    <w:rsid w:val="008E271E"/>
    <w:rsid w:val="008F10DF"/>
    <w:rsid w:val="008F7DF4"/>
    <w:rsid w:val="00914EDB"/>
    <w:rsid w:val="0091571A"/>
    <w:rsid w:val="009451E2"/>
    <w:rsid w:val="009505E6"/>
    <w:rsid w:val="00962DD1"/>
    <w:rsid w:val="00965784"/>
    <w:rsid w:val="009712F3"/>
    <w:rsid w:val="00973E1A"/>
    <w:rsid w:val="00977ADF"/>
    <w:rsid w:val="00986A02"/>
    <w:rsid w:val="00991917"/>
    <w:rsid w:val="00996B7B"/>
    <w:rsid w:val="009A34C6"/>
    <w:rsid w:val="009A3E78"/>
    <w:rsid w:val="009B25F0"/>
    <w:rsid w:val="009B3C69"/>
    <w:rsid w:val="009C7584"/>
    <w:rsid w:val="009D74B7"/>
    <w:rsid w:val="009F1533"/>
    <w:rsid w:val="00A15755"/>
    <w:rsid w:val="00A26CD5"/>
    <w:rsid w:val="00A3654E"/>
    <w:rsid w:val="00A56133"/>
    <w:rsid w:val="00A5794C"/>
    <w:rsid w:val="00A64D8D"/>
    <w:rsid w:val="00A67607"/>
    <w:rsid w:val="00A81BEA"/>
    <w:rsid w:val="00A83808"/>
    <w:rsid w:val="00A83D0A"/>
    <w:rsid w:val="00A954AF"/>
    <w:rsid w:val="00AC4FF0"/>
    <w:rsid w:val="00AE0074"/>
    <w:rsid w:val="00B02AB6"/>
    <w:rsid w:val="00B07EE7"/>
    <w:rsid w:val="00B174E0"/>
    <w:rsid w:val="00B31A91"/>
    <w:rsid w:val="00B347AF"/>
    <w:rsid w:val="00B46B52"/>
    <w:rsid w:val="00B473EF"/>
    <w:rsid w:val="00B61976"/>
    <w:rsid w:val="00B652E2"/>
    <w:rsid w:val="00B66618"/>
    <w:rsid w:val="00B83100"/>
    <w:rsid w:val="00BA3742"/>
    <w:rsid w:val="00BB67D6"/>
    <w:rsid w:val="00BD3195"/>
    <w:rsid w:val="00BE5FCB"/>
    <w:rsid w:val="00BF7E87"/>
    <w:rsid w:val="00C03B5C"/>
    <w:rsid w:val="00C10852"/>
    <w:rsid w:val="00C2187A"/>
    <w:rsid w:val="00C263AF"/>
    <w:rsid w:val="00C42759"/>
    <w:rsid w:val="00C434F4"/>
    <w:rsid w:val="00C47232"/>
    <w:rsid w:val="00C51471"/>
    <w:rsid w:val="00C57FB5"/>
    <w:rsid w:val="00C71624"/>
    <w:rsid w:val="00C760AE"/>
    <w:rsid w:val="00C86667"/>
    <w:rsid w:val="00C9120C"/>
    <w:rsid w:val="00CA4754"/>
    <w:rsid w:val="00CB59D2"/>
    <w:rsid w:val="00CC0AE6"/>
    <w:rsid w:val="00CC5AD8"/>
    <w:rsid w:val="00CE2BA5"/>
    <w:rsid w:val="00CF6B8C"/>
    <w:rsid w:val="00D000FA"/>
    <w:rsid w:val="00D16865"/>
    <w:rsid w:val="00D27FEF"/>
    <w:rsid w:val="00D301D3"/>
    <w:rsid w:val="00D35EDA"/>
    <w:rsid w:val="00D4752C"/>
    <w:rsid w:val="00D52A81"/>
    <w:rsid w:val="00D54F4C"/>
    <w:rsid w:val="00D65531"/>
    <w:rsid w:val="00D74B21"/>
    <w:rsid w:val="00D855FC"/>
    <w:rsid w:val="00DA4731"/>
    <w:rsid w:val="00DB152E"/>
    <w:rsid w:val="00DB2EF9"/>
    <w:rsid w:val="00DB62CD"/>
    <w:rsid w:val="00DC6526"/>
    <w:rsid w:val="00DD2CB8"/>
    <w:rsid w:val="00DD3915"/>
    <w:rsid w:val="00DE189B"/>
    <w:rsid w:val="00DF19E8"/>
    <w:rsid w:val="00DF1A30"/>
    <w:rsid w:val="00E0241B"/>
    <w:rsid w:val="00E260F3"/>
    <w:rsid w:val="00E274BD"/>
    <w:rsid w:val="00E3304E"/>
    <w:rsid w:val="00E35AAE"/>
    <w:rsid w:val="00E50090"/>
    <w:rsid w:val="00E515A9"/>
    <w:rsid w:val="00E61D0E"/>
    <w:rsid w:val="00E66292"/>
    <w:rsid w:val="00E74370"/>
    <w:rsid w:val="00E83F46"/>
    <w:rsid w:val="00E97AAD"/>
    <w:rsid w:val="00EA0130"/>
    <w:rsid w:val="00EB13E5"/>
    <w:rsid w:val="00EB6DD4"/>
    <w:rsid w:val="00EC5BB6"/>
    <w:rsid w:val="00ED6934"/>
    <w:rsid w:val="00EE147A"/>
    <w:rsid w:val="00EE6466"/>
    <w:rsid w:val="00F07707"/>
    <w:rsid w:val="00F14018"/>
    <w:rsid w:val="00F155B5"/>
    <w:rsid w:val="00F1689A"/>
    <w:rsid w:val="00F4297F"/>
    <w:rsid w:val="00F460C0"/>
    <w:rsid w:val="00F65FCD"/>
    <w:rsid w:val="00F7502A"/>
    <w:rsid w:val="00F97668"/>
    <w:rsid w:val="00FA1FC6"/>
    <w:rsid w:val="00FC6334"/>
    <w:rsid w:val="00FD7CC1"/>
    <w:rsid w:val="00FE552E"/>
    <w:rsid w:val="00FF6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A2DE4"/>
  <w15:docId w15:val="{A230A59D-127A-0D40-98E3-D4029EDB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6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4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62DA8"/>
    <w:pPr>
      <w:spacing w:after="12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42DB7"/>
    <w:pPr>
      <w:ind w:left="720"/>
      <w:contextualSpacing/>
    </w:pPr>
  </w:style>
  <w:style w:type="character" w:customStyle="1" w:styleId="Heading1Char">
    <w:name w:val="Heading 1 Char"/>
    <w:basedOn w:val="DefaultParagraphFont"/>
    <w:link w:val="Heading1"/>
    <w:uiPriority w:val="9"/>
    <w:rsid w:val="003A66F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63FCE"/>
    <w:rPr>
      <w:color w:val="0000FF" w:themeColor="hyperlink"/>
      <w:u w:val="single"/>
    </w:rPr>
  </w:style>
  <w:style w:type="paragraph" w:styleId="BalloonText">
    <w:name w:val="Balloon Text"/>
    <w:basedOn w:val="Normal"/>
    <w:link w:val="BalloonTextChar"/>
    <w:uiPriority w:val="99"/>
    <w:semiHidden/>
    <w:unhideWhenUsed/>
    <w:rsid w:val="00360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FF9"/>
    <w:rPr>
      <w:rFonts w:ascii="Tahoma" w:hAnsi="Tahoma" w:cs="Tahoma"/>
      <w:sz w:val="16"/>
      <w:szCs w:val="16"/>
    </w:rPr>
  </w:style>
  <w:style w:type="paragraph" w:styleId="Header">
    <w:name w:val="header"/>
    <w:basedOn w:val="Normal"/>
    <w:link w:val="HeaderChar"/>
    <w:uiPriority w:val="99"/>
    <w:unhideWhenUsed/>
    <w:rsid w:val="00164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962"/>
  </w:style>
  <w:style w:type="paragraph" w:styleId="Footer">
    <w:name w:val="footer"/>
    <w:basedOn w:val="Normal"/>
    <w:link w:val="FooterChar"/>
    <w:uiPriority w:val="99"/>
    <w:unhideWhenUsed/>
    <w:rsid w:val="00164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962"/>
  </w:style>
  <w:style w:type="character" w:styleId="Strong">
    <w:name w:val="Strong"/>
    <w:basedOn w:val="DefaultParagraphFont"/>
    <w:uiPriority w:val="22"/>
    <w:qFormat/>
    <w:rsid w:val="008200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989279">
      <w:bodyDiv w:val="1"/>
      <w:marLeft w:val="0"/>
      <w:marRight w:val="0"/>
      <w:marTop w:val="0"/>
      <w:marBottom w:val="0"/>
      <w:divBdr>
        <w:top w:val="none" w:sz="0" w:space="0" w:color="auto"/>
        <w:left w:val="none" w:sz="0" w:space="0" w:color="auto"/>
        <w:bottom w:val="none" w:sz="0" w:space="0" w:color="auto"/>
        <w:right w:val="none" w:sz="0" w:space="0" w:color="auto"/>
      </w:divBdr>
    </w:div>
    <w:div w:id="717820990">
      <w:bodyDiv w:val="1"/>
      <w:marLeft w:val="0"/>
      <w:marRight w:val="0"/>
      <w:marTop w:val="0"/>
      <w:marBottom w:val="0"/>
      <w:divBdr>
        <w:top w:val="none" w:sz="0" w:space="0" w:color="auto"/>
        <w:left w:val="none" w:sz="0" w:space="0" w:color="auto"/>
        <w:bottom w:val="none" w:sz="0" w:space="0" w:color="auto"/>
        <w:right w:val="none" w:sz="0" w:space="0" w:color="auto"/>
      </w:divBdr>
      <w:divsChild>
        <w:div w:id="1950966355">
          <w:marLeft w:val="0"/>
          <w:marRight w:val="0"/>
          <w:marTop w:val="0"/>
          <w:marBottom w:val="0"/>
          <w:divBdr>
            <w:top w:val="none" w:sz="0" w:space="0" w:color="auto"/>
            <w:left w:val="none" w:sz="0" w:space="0" w:color="auto"/>
            <w:bottom w:val="none" w:sz="0" w:space="0" w:color="auto"/>
            <w:right w:val="none" w:sz="0" w:space="0" w:color="auto"/>
          </w:divBdr>
        </w:div>
      </w:divsChild>
    </w:div>
    <w:div w:id="1686899913">
      <w:bodyDiv w:val="1"/>
      <w:marLeft w:val="0"/>
      <w:marRight w:val="0"/>
      <w:marTop w:val="0"/>
      <w:marBottom w:val="0"/>
      <w:divBdr>
        <w:top w:val="none" w:sz="0" w:space="0" w:color="auto"/>
        <w:left w:val="none" w:sz="0" w:space="0" w:color="auto"/>
        <w:bottom w:val="none" w:sz="0" w:space="0" w:color="auto"/>
        <w:right w:val="none" w:sz="0" w:space="0" w:color="auto"/>
      </w:divBdr>
    </w:div>
    <w:div w:id="193169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ECAB-6E45-EF4A-ACFF-6D4B2863C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6766</Words>
  <Characters>38570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45246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Nadja Smailagic</dc:creator>
  <cp:lastModifiedBy>Beth Kumar</cp:lastModifiedBy>
  <cp:revision>4</cp:revision>
  <cp:lastPrinted>2016-08-05T14:02:00Z</cp:lastPrinted>
  <dcterms:created xsi:type="dcterms:W3CDTF">2018-04-26T11:09:00Z</dcterms:created>
  <dcterms:modified xsi:type="dcterms:W3CDTF">2018-06-07T15:18:00Z</dcterms:modified>
</cp:coreProperties>
</file>