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170F0" w14:textId="27042A4D" w:rsidR="007C3ECF" w:rsidRPr="00550266" w:rsidRDefault="00DA5191" w:rsidP="00315E2E">
      <w:pPr>
        <w:spacing w:line="480" w:lineRule="auto"/>
        <w:jc w:val="both"/>
        <w:rPr>
          <w:rFonts w:asciiTheme="minorHAnsi" w:eastAsiaTheme="minorHAnsi" w:hAnsiTheme="minorHAnsi"/>
          <w:b/>
          <w:lang w:val="en-US" w:eastAsia="en-US"/>
        </w:rPr>
      </w:pPr>
      <w:r>
        <w:rPr>
          <w:rFonts w:asciiTheme="minorHAnsi" w:eastAsiaTheme="minorHAnsi" w:hAnsiTheme="minorHAnsi"/>
          <w:b/>
          <w:lang w:val="en-US" w:eastAsia="en-US"/>
        </w:rPr>
        <w:t>Supplementary Material</w:t>
      </w:r>
    </w:p>
    <w:p w14:paraId="50E6A8F6" w14:textId="77777777" w:rsidR="00C230B4" w:rsidRPr="00550266" w:rsidRDefault="00C230B4" w:rsidP="00315E2E">
      <w:pPr>
        <w:spacing w:line="480" w:lineRule="auto"/>
        <w:jc w:val="both"/>
        <w:rPr>
          <w:rFonts w:asciiTheme="minorHAnsi" w:eastAsiaTheme="minorHAnsi" w:hAnsiTheme="minorHAnsi"/>
          <w:b/>
          <w:lang w:val="en-US" w:eastAsia="en-US"/>
        </w:rPr>
      </w:pPr>
    </w:p>
    <w:p w14:paraId="3BECD649" w14:textId="65D7A01D" w:rsidR="00C230B4" w:rsidRPr="00550266" w:rsidRDefault="00DA5191" w:rsidP="00C230B4">
      <w:pPr>
        <w:spacing w:line="480" w:lineRule="auto"/>
        <w:rPr>
          <w:rFonts w:asciiTheme="minorHAnsi" w:eastAsiaTheme="minorHAnsi" w:hAnsiTheme="minorHAnsi"/>
          <w:sz w:val="20"/>
          <w:szCs w:val="20"/>
          <w:lang w:val="en-US" w:eastAsia="en-US"/>
        </w:rPr>
      </w:pPr>
      <w:r>
        <w:rPr>
          <w:rFonts w:asciiTheme="minorHAnsi" w:eastAsiaTheme="minorHAnsi" w:hAnsiTheme="minorHAnsi"/>
          <w:b/>
          <w:sz w:val="20"/>
          <w:szCs w:val="20"/>
          <w:lang w:val="en-US" w:eastAsia="en-US"/>
        </w:rPr>
        <w:t xml:space="preserve">Supplementary </w:t>
      </w:r>
      <w:r w:rsidR="00C230B4" w:rsidRPr="00550266">
        <w:rPr>
          <w:rFonts w:asciiTheme="minorHAnsi" w:eastAsiaTheme="minorHAnsi" w:hAnsiTheme="minorHAnsi"/>
          <w:b/>
          <w:sz w:val="20"/>
          <w:szCs w:val="20"/>
          <w:lang w:val="en-US" w:eastAsia="en-US"/>
        </w:rPr>
        <w:t xml:space="preserve">Table 1 </w:t>
      </w:r>
      <w:r w:rsidR="00C230B4" w:rsidRPr="00550266">
        <w:rPr>
          <w:rFonts w:asciiTheme="minorHAnsi" w:eastAsiaTheme="minorHAnsi" w:hAnsiTheme="minorHAnsi"/>
          <w:sz w:val="20"/>
          <w:szCs w:val="20"/>
          <w:lang w:val="en-US" w:eastAsia="en-US"/>
        </w:rPr>
        <w:t>Interpretation of CSF biomarkers based on both the IWG-2 and NIA-AA criteria.</w:t>
      </w:r>
    </w:p>
    <w:tbl>
      <w:tblPr>
        <w:tblStyle w:val="TableGrid"/>
        <w:tblW w:w="674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61"/>
        <w:gridCol w:w="1620"/>
      </w:tblGrid>
      <w:tr w:rsidR="00C230B4" w:rsidRPr="00550266" w14:paraId="3A026441" w14:textId="77777777" w:rsidTr="00DA51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7E57E19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A2334D1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14:paraId="03ADDE17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/>
                <w:b/>
                <w:sz w:val="18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/>
                <w:b/>
                <w:sz w:val="18"/>
                <w:szCs w:val="16"/>
                <w:lang w:val="en-US" w:eastAsia="en-US"/>
              </w:rPr>
              <w:t>CSF Aβ</w:t>
            </w:r>
            <w:r w:rsidRPr="00550266">
              <w:rPr>
                <w:rFonts w:asciiTheme="minorHAnsi" w:eastAsiaTheme="minorHAnsi" w:hAnsiTheme="minorHAnsi"/>
                <w:b/>
                <w:sz w:val="18"/>
                <w:szCs w:val="16"/>
                <w:vertAlign w:val="subscript"/>
                <w:lang w:val="en-US" w:eastAsia="en-US"/>
              </w:rPr>
              <w:t>1-42</w:t>
            </w:r>
            <w:r w:rsidRPr="00550266">
              <w:rPr>
                <w:rFonts w:asciiTheme="minorHAnsi" w:eastAsiaTheme="minorHAnsi" w:hAnsiTheme="minorHAnsi"/>
                <w:b/>
                <w:sz w:val="18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02DD99E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/>
                <w:b/>
                <w:sz w:val="18"/>
                <w:szCs w:val="16"/>
                <w:vertAlign w:val="subscript"/>
                <w:lang w:val="en-US" w:eastAsia="en-US"/>
              </w:rPr>
            </w:pPr>
            <w:r w:rsidRPr="00550266">
              <w:rPr>
                <w:rFonts w:asciiTheme="minorHAnsi" w:eastAsiaTheme="minorHAnsi" w:hAnsiTheme="minorHAnsi"/>
                <w:b/>
                <w:sz w:val="18"/>
                <w:szCs w:val="16"/>
                <w:lang w:val="en-US" w:eastAsia="en-US"/>
              </w:rPr>
              <w:t>CSF Tau or P-tau</w:t>
            </w:r>
            <w:r w:rsidRPr="00550266">
              <w:rPr>
                <w:rFonts w:asciiTheme="minorHAnsi" w:eastAsiaTheme="minorHAnsi" w:hAnsiTheme="minorHAnsi"/>
                <w:b/>
                <w:sz w:val="18"/>
                <w:szCs w:val="16"/>
                <w:vertAlign w:val="subscript"/>
                <w:lang w:val="en-US" w:eastAsia="en-US"/>
              </w:rPr>
              <w:t>181</w:t>
            </w:r>
          </w:p>
        </w:tc>
      </w:tr>
      <w:tr w:rsidR="00C230B4" w:rsidRPr="00550266" w14:paraId="3E7C1C78" w14:textId="77777777" w:rsidTr="00DA5191"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14:paraId="08CCF3FF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/>
                <w:b/>
                <w:sz w:val="18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/>
                <w:b/>
                <w:sz w:val="18"/>
                <w:szCs w:val="16"/>
                <w:lang w:val="en-US" w:eastAsia="en-US"/>
              </w:rPr>
              <w:t>IWG-2 criteria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9B94412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  <w:t>Suggestive for AD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14:paraId="1375367E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  <w:t>Positive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2B82BFC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  <w:t>Positive</w:t>
            </w:r>
          </w:p>
        </w:tc>
      </w:tr>
      <w:tr w:rsidR="00C230B4" w:rsidRPr="00550266" w14:paraId="752DED48" w14:textId="77777777" w:rsidTr="00DA5191">
        <w:tc>
          <w:tcPr>
            <w:tcW w:w="1413" w:type="dxa"/>
            <w:vMerge/>
          </w:tcPr>
          <w:p w14:paraId="3A5CEABB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/>
                <w:b/>
                <w:sz w:val="18"/>
                <w:szCs w:val="16"/>
                <w:lang w:val="en-US" w:eastAsia="en-US"/>
              </w:rPr>
            </w:pPr>
          </w:p>
        </w:tc>
        <w:tc>
          <w:tcPr>
            <w:tcW w:w="2551" w:type="dxa"/>
          </w:tcPr>
          <w:p w14:paraId="19A5D82F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  <w:t>Not suggestive for AD</w:t>
            </w:r>
          </w:p>
        </w:tc>
        <w:tc>
          <w:tcPr>
            <w:tcW w:w="1161" w:type="dxa"/>
          </w:tcPr>
          <w:p w14:paraId="0A634B29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  <w:t>Positive</w:t>
            </w:r>
          </w:p>
          <w:p w14:paraId="1E470D55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  <w:t>Negative</w:t>
            </w:r>
          </w:p>
        </w:tc>
        <w:tc>
          <w:tcPr>
            <w:tcW w:w="1620" w:type="dxa"/>
          </w:tcPr>
          <w:p w14:paraId="26D73A84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  <w:t>Negative</w:t>
            </w:r>
          </w:p>
          <w:p w14:paraId="29EC9C1E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  <w:t>Positive</w:t>
            </w:r>
          </w:p>
        </w:tc>
      </w:tr>
      <w:tr w:rsidR="00C230B4" w:rsidRPr="00550266" w14:paraId="4672105B" w14:textId="77777777" w:rsidTr="00DA5191">
        <w:tc>
          <w:tcPr>
            <w:tcW w:w="1413" w:type="dxa"/>
          </w:tcPr>
          <w:p w14:paraId="7DF4E0CF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/>
                <w:b/>
                <w:sz w:val="18"/>
                <w:szCs w:val="16"/>
                <w:lang w:val="en-US" w:eastAsia="en-US"/>
              </w:rPr>
            </w:pPr>
          </w:p>
        </w:tc>
        <w:tc>
          <w:tcPr>
            <w:tcW w:w="2551" w:type="dxa"/>
          </w:tcPr>
          <w:p w14:paraId="36615691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</w:pPr>
          </w:p>
        </w:tc>
        <w:tc>
          <w:tcPr>
            <w:tcW w:w="1161" w:type="dxa"/>
          </w:tcPr>
          <w:p w14:paraId="4F42CBC5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  <w:t>Negative</w:t>
            </w:r>
          </w:p>
        </w:tc>
        <w:tc>
          <w:tcPr>
            <w:tcW w:w="1620" w:type="dxa"/>
          </w:tcPr>
          <w:p w14:paraId="50902F43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  <w:t>Negative</w:t>
            </w:r>
          </w:p>
        </w:tc>
      </w:tr>
      <w:tr w:rsidR="00C230B4" w:rsidRPr="00550266" w14:paraId="7BDF633A" w14:textId="77777777" w:rsidTr="00DA5191">
        <w:tc>
          <w:tcPr>
            <w:tcW w:w="1413" w:type="dxa"/>
          </w:tcPr>
          <w:p w14:paraId="20EA45EE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hAnsiTheme="minorHAnsi"/>
                <w:b/>
                <w:sz w:val="18"/>
                <w:szCs w:val="16"/>
                <w:lang w:val="en-US"/>
              </w:rPr>
            </w:pPr>
          </w:p>
        </w:tc>
        <w:tc>
          <w:tcPr>
            <w:tcW w:w="2551" w:type="dxa"/>
          </w:tcPr>
          <w:p w14:paraId="56899141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hAnsiTheme="minorHAnsi"/>
                <w:sz w:val="18"/>
                <w:szCs w:val="16"/>
                <w:lang w:val="en-US"/>
              </w:rPr>
            </w:pPr>
          </w:p>
        </w:tc>
        <w:tc>
          <w:tcPr>
            <w:tcW w:w="1161" w:type="dxa"/>
          </w:tcPr>
          <w:p w14:paraId="769643A0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hAnsiTheme="minorHAnsi"/>
                <w:sz w:val="18"/>
                <w:szCs w:val="16"/>
                <w:lang w:val="en-US"/>
              </w:rPr>
            </w:pPr>
          </w:p>
        </w:tc>
        <w:tc>
          <w:tcPr>
            <w:tcW w:w="1620" w:type="dxa"/>
          </w:tcPr>
          <w:p w14:paraId="7DAD493B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hAnsiTheme="minorHAnsi"/>
                <w:sz w:val="18"/>
                <w:szCs w:val="16"/>
                <w:lang w:val="en-US"/>
              </w:rPr>
            </w:pPr>
          </w:p>
        </w:tc>
      </w:tr>
      <w:tr w:rsidR="00C230B4" w:rsidRPr="00550266" w14:paraId="5A0A933F" w14:textId="77777777" w:rsidTr="00DA5191">
        <w:tc>
          <w:tcPr>
            <w:tcW w:w="1413" w:type="dxa"/>
            <w:vMerge w:val="restart"/>
          </w:tcPr>
          <w:p w14:paraId="43EE9F95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/>
                <w:b/>
                <w:sz w:val="18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/>
                <w:b/>
                <w:sz w:val="18"/>
                <w:szCs w:val="16"/>
                <w:lang w:val="en-US" w:eastAsia="en-US"/>
              </w:rPr>
              <w:t>NIA-AA criteria</w:t>
            </w:r>
          </w:p>
        </w:tc>
        <w:tc>
          <w:tcPr>
            <w:tcW w:w="2551" w:type="dxa"/>
          </w:tcPr>
          <w:p w14:paraId="346CE62E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  <w:t>High likelihood of AD</w:t>
            </w:r>
          </w:p>
        </w:tc>
        <w:tc>
          <w:tcPr>
            <w:tcW w:w="1161" w:type="dxa"/>
          </w:tcPr>
          <w:p w14:paraId="50C73E63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  <w:t xml:space="preserve">Positive </w:t>
            </w:r>
          </w:p>
        </w:tc>
        <w:tc>
          <w:tcPr>
            <w:tcW w:w="1620" w:type="dxa"/>
          </w:tcPr>
          <w:p w14:paraId="06B14757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  <w:t>Positive</w:t>
            </w:r>
          </w:p>
        </w:tc>
      </w:tr>
      <w:tr w:rsidR="00C230B4" w:rsidRPr="00550266" w14:paraId="17B7C7F4" w14:textId="77777777" w:rsidTr="00DA5191">
        <w:tc>
          <w:tcPr>
            <w:tcW w:w="1413" w:type="dxa"/>
            <w:vMerge/>
          </w:tcPr>
          <w:p w14:paraId="62BFAC08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</w:pPr>
          </w:p>
        </w:tc>
        <w:tc>
          <w:tcPr>
            <w:tcW w:w="2551" w:type="dxa"/>
          </w:tcPr>
          <w:p w14:paraId="6E378812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  <w:t>Intermediate likelihood of AD</w:t>
            </w:r>
          </w:p>
        </w:tc>
        <w:tc>
          <w:tcPr>
            <w:tcW w:w="1161" w:type="dxa"/>
          </w:tcPr>
          <w:p w14:paraId="636BFA38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  <w:t>Positive</w:t>
            </w:r>
          </w:p>
          <w:p w14:paraId="406B34E6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  <w:t>Negative</w:t>
            </w:r>
          </w:p>
        </w:tc>
        <w:tc>
          <w:tcPr>
            <w:tcW w:w="1620" w:type="dxa"/>
          </w:tcPr>
          <w:p w14:paraId="6BD92D60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  <w:t>Negative</w:t>
            </w:r>
          </w:p>
          <w:p w14:paraId="05AEA334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  <w:t>Positive</w:t>
            </w:r>
          </w:p>
        </w:tc>
      </w:tr>
      <w:tr w:rsidR="00C230B4" w:rsidRPr="00550266" w14:paraId="044DF204" w14:textId="77777777" w:rsidTr="00DA5191">
        <w:tc>
          <w:tcPr>
            <w:tcW w:w="1413" w:type="dxa"/>
            <w:vMerge/>
          </w:tcPr>
          <w:p w14:paraId="007E88C0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</w:pPr>
          </w:p>
        </w:tc>
        <w:tc>
          <w:tcPr>
            <w:tcW w:w="2551" w:type="dxa"/>
          </w:tcPr>
          <w:p w14:paraId="1150EE91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  <w:t>Low likelihood of AD</w:t>
            </w:r>
          </w:p>
        </w:tc>
        <w:tc>
          <w:tcPr>
            <w:tcW w:w="1161" w:type="dxa"/>
          </w:tcPr>
          <w:p w14:paraId="68DCE8B9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  <w:t>Negative</w:t>
            </w:r>
          </w:p>
        </w:tc>
        <w:tc>
          <w:tcPr>
            <w:tcW w:w="1620" w:type="dxa"/>
          </w:tcPr>
          <w:p w14:paraId="7DD8E173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/>
                <w:sz w:val="18"/>
                <w:szCs w:val="16"/>
                <w:lang w:val="en-US" w:eastAsia="en-US"/>
              </w:rPr>
              <w:t>Negative</w:t>
            </w:r>
          </w:p>
        </w:tc>
      </w:tr>
    </w:tbl>
    <w:p w14:paraId="3D4A3308" w14:textId="77777777" w:rsidR="00C230B4" w:rsidRPr="00550266" w:rsidRDefault="00C230B4" w:rsidP="00C230B4">
      <w:pPr>
        <w:spacing w:line="480" w:lineRule="auto"/>
        <w:jc w:val="both"/>
        <w:rPr>
          <w:rFonts w:asciiTheme="minorHAnsi" w:hAnsiTheme="minorHAnsi"/>
          <w:sz w:val="18"/>
          <w:szCs w:val="18"/>
          <w:lang w:val="en-US"/>
        </w:rPr>
      </w:pPr>
      <w:r w:rsidRPr="00550266">
        <w:rPr>
          <w:rFonts w:asciiTheme="minorHAnsi" w:hAnsiTheme="minorHAnsi"/>
          <w:sz w:val="18"/>
          <w:szCs w:val="18"/>
          <w:lang w:val="en-US"/>
        </w:rPr>
        <w:t>A positive marker is observed as one biomarker is positive/abnormal. A negative marker is observed as all biomarkers are negative/abnormal. For CSF biomarkers:</w:t>
      </w:r>
    </w:p>
    <w:p w14:paraId="6294A0DB" w14:textId="77777777" w:rsidR="00C230B4" w:rsidRPr="00550266" w:rsidRDefault="00C230B4" w:rsidP="00C230B4">
      <w:pPr>
        <w:spacing w:line="480" w:lineRule="auto"/>
        <w:jc w:val="both"/>
        <w:rPr>
          <w:rFonts w:asciiTheme="minorHAnsi" w:hAnsiTheme="minorHAnsi" w:cs="AdvTT5235d5a9"/>
          <w:sz w:val="18"/>
          <w:szCs w:val="16"/>
          <w:lang w:val="en-US"/>
        </w:rPr>
      </w:pPr>
      <w:r w:rsidRPr="00550266">
        <w:rPr>
          <w:rFonts w:asciiTheme="minorHAnsi" w:hAnsiTheme="minorHAnsi"/>
          <w:sz w:val="18"/>
          <w:szCs w:val="18"/>
          <w:lang w:val="en-US"/>
        </w:rPr>
        <w:t>AD CSF biomarker profile following the IWG-2 criteria is</w:t>
      </w:r>
      <w:r w:rsidRPr="00550266">
        <w:rPr>
          <w:rFonts w:asciiTheme="minorHAnsi" w:hAnsiTheme="minorHAnsi" w:cs="AdvTT5235d5a9"/>
          <w:sz w:val="18"/>
          <w:szCs w:val="16"/>
          <w:lang w:val="en-US"/>
        </w:rPr>
        <w:t xml:space="preserve"> considered to be suggestive for AD if CSF Aβ</w:t>
      </w:r>
      <w:r w:rsidRPr="00550266">
        <w:rPr>
          <w:rFonts w:asciiTheme="minorHAnsi" w:hAnsiTheme="minorHAnsi" w:cs="AdvTT5235d5a9"/>
          <w:sz w:val="18"/>
          <w:szCs w:val="16"/>
          <w:vertAlign w:val="subscript"/>
          <w:lang w:val="en-US"/>
        </w:rPr>
        <w:t>1-42</w:t>
      </w:r>
      <w:r w:rsidRPr="00550266">
        <w:rPr>
          <w:rFonts w:asciiTheme="minorHAnsi" w:hAnsiTheme="minorHAnsi" w:cs="AdvTT5235d5a9"/>
          <w:sz w:val="18"/>
          <w:szCs w:val="16"/>
          <w:lang w:val="en-US"/>
        </w:rPr>
        <w:t xml:space="preserve"> is positive/abnormal, in combination with positive/abnormal T-tau and/or P-tau</w:t>
      </w:r>
      <w:r w:rsidRPr="00550266">
        <w:rPr>
          <w:rFonts w:asciiTheme="minorHAnsi" w:hAnsiTheme="minorHAnsi" w:cs="AdvTT5235d5a9"/>
          <w:sz w:val="18"/>
          <w:szCs w:val="16"/>
          <w:vertAlign w:val="subscript"/>
          <w:lang w:val="en-US"/>
        </w:rPr>
        <w:t xml:space="preserve">181 </w:t>
      </w:r>
      <w:r w:rsidRPr="00550266">
        <w:rPr>
          <w:rFonts w:asciiTheme="minorHAnsi" w:hAnsiTheme="minorHAnsi" w:cs="AdvTT5235d5a9"/>
          <w:sz w:val="18"/>
          <w:szCs w:val="16"/>
          <w:lang w:val="en-US"/>
        </w:rPr>
        <w:t xml:space="preserve">values. In all other cases, the CSF biomarker profile is not suggestive for AD. </w:t>
      </w:r>
    </w:p>
    <w:p w14:paraId="7AEBE16C" w14:textId="77777777" w:rsidR="00C230B4" w:rsidRPr="00550266" w:rsidRDefault="00C230B4" w:rsidP="00C230B4">
      <w:pPr>
        <w:spacing w:line="480" w:lineRule="auto"/>
        <w:jc w:val="both"/>
        <w:rPr>
          <w:rFonts w:asciiTheme="minorHAnsi" w:hAnsiTheme="minorHAnsi" w:cs="AdvTT5235d5a9"/>
          <w:sz w:val="18"/>
          <w:szCs w:val="16"/>
          <w:lang w:val="en-US"/>
        </w:rPr>
      </w:pPr>
      <w:r w:rsidRPr="00550266">
        <w:rPr>
          <w:rFonts w:asciiTheme="minorHAnsi" w:hAnsiTheme="minorHAnsi" w:cs="AdvTT5235d5a9"/>
          <w:sz w:val="18"/>
          <w:szCs w:val="16"/>
          <w:lang w:val="en-US"/>
        </w:rPr>
        <w:t xml:space="preserve">AD CSF biomarker profile following the NIA-AA criteria has a high likelihood of AD if both amyloid and neuronal injury markers are positive/abnormal, whereas the low likelihood is if both markers are negative. Intermediate likelihood is if only one of both was positive. </w:t>
      </w:r>
    </w:p>
    <w:p w14:paraId="4633F3B4" w14:textId="73560496" w:rsidR="00C230B4" w:rsidRPr="00DA5191" w:rsidRDefault="00C230B4" w:rsidP="00C230B4">
      <w:pPr>
        <w:spacing w:line="480" w:lineRule="auto"/>
        <w:jc w:val="both"/>
        <w:rPr>
          <w:rFonts w:asciiTheme="minorHAnsi" w:hAnsiTheme="minorHAnsi"/>
          <w:sz w:val="18"/>
          <w:szCs w:val="18"/>
          <w:lang w:val="en-US"/>
        </w:rPr>
      </w:pPr>
      <w:r w:rsidRPr="00550266">
        <w:rPr>
          <w:rFonts w:asciiTheme="minorHAnsi" w:hAnsiTheme="minorHAnsi"/>
          <w:sz w:val="18"/>
          <w:szCs w:val="18"/>
          <w:lang w:val="en-US"/>
        </w:rPr>
        <w:t>Aβ</w:t>
      </w:r>
      <w:r w:rsidRPr="00550266">
        <w:rPr>
          <w:rFonts w:asciiTheme="minorHAnsi" w:hAnsiTheme="minorHAnsi"/>
          <w:sz w:val="18"/>
          <w:szCs w:val="18"/>
          <w:vertAlign w:val="subscript"/>
          <w:lang w:val="en-US"/>
        </w:rPr>
        <w:t>1-</w:t>
      </w:r>
      <w:r w:rsidRPr="00DA5191">
        <w:rPr>
          <w:rFonts w:asciiTheme="minorHAnsi" w:hAnsiTheme="minorHAnsi"/>
          <w:sz w:val="18"/>
          <w:szCs w:val="18"/>
          <w:vertAlign w:val="subscript"/>
          <w:lang w:val="en-US"/>
        </w:rPr>
        <w:t>42</w:t>
      </w:r>
      <w:r w:rsidR="00DA5191" w:rsidRPr="00DA5191">
        <w:rPr>
          <w:rFonts w:asciiTheme="minorHAnsi" w:hAnsiTheme="minorHAnsi"/>
          <w:sz w:val="18"/>
          <w:szCs w:val="18"/>
          <w:lang w:val="en-US"/>
        </w:rPr>
        <w:t xml:space="preserve">, </w:t>
      </w:r>
      <w:r w:rsidRPr="00DA5191">
        <w:rPr>
          <w:rFonts w:asciiTheme="minorHAnsi" w:hAnsiTheme="minorHAnsi"/>
          <w:sz w:val="18"/>
          <w:szCs w:val="18"/>
          <w:lang w:val="en-US"/>
        </w:rPr>
        <w:t>amyloid-β of 42 amino acids; AD</w:t>
      </w:r>
      <w:r w:rsidR="00DA5191" w:rsidRPr="00DA5191">
        <w:rPr>
          <w:rFonts w:asciiTheme="minorHAnsi" w:hAnsiTheme="minorHAnsi"/>
          <w:sz w:val="18"/>
          <w:szCs w:val="18"/>
          <w:lang w:val="en-US"/>
        </w:rPr>
        <w:t>,</w:t>
      </w:r>
      <w:r w:rsidRPr="00DA5191">
        <w:rPr>
          <w:rFonts w:asciiTheme="minorHAnsi" w:hAnsiTheme="minorHAnsi"/>
          <w:sz w:val="18"/>
          <w:szCs w:val="18"/>
          <w:lang w:val="en-US"/>
        </w:rPr>
        <w:t xml:space="preserve"> Alzheimer’s disease; CSF</w:t>
      </w:r>
      <w:r w:rsidR="00DA5191" w:rsidRPr="00DA5191">
        <w:rPr>
          <w:rFonts w:asciiTheme="minorHAnsi" w:hAnsiTheme="minorHAnsi"/>
          <w:sz w:val="18"/>
          <w:szCs w:val="18"/>
          <w:lang w:val="en-US"/>
        </w:rPr>
        <w:t>,</w:t>
      </w:r>
      <w:r w:rsidRPr="00DA5191">
        <w:rPr>
          <w:rFonts w:asciiTheme="minorHAnsi" w:hAnsiTheme="minorHAnsi"/>
          <w:sz w:val="18"/>
          <w:szCs w:val="18"/>
          <w:lang w:val="en-US"/>
        </w:rPr>
        <w:t xml:space="preserve"> cerebrospinal fluid; IWG-2</w:t>
      </w:r>
      <w:r w:rsidR="00DA5191" w:rsidRPr="00DA5191">
        <w:rPr>
          <w:rFonts w:asciiTheme="minorHAnsi" w:hAnsiTheme="minorHAnsi"/>
          <w:sz w:val="18"/>
          <w:szCs w:val="18"/>
          <w:lang w:val="en-US"/>
        </w:rPr>
        <w:t>,</w:t>
      </w:r>
      <w:r w:rsidRPr="00DA5191">
        <w:rPr>
          <w:rFonts w:asciiTheme="minorHAnsi" w:hAnsiTheme="minorHAnsi"/>
          <w:sz w:val="18"/>
          <w:szCs w:val="18"/>
          <w:lang w:val="en-US"/>
        </w:rPr>
        <w:t xml:space="preserve"> </w:t>
      </w:r>
      <w:r w:rsidR="00DA5191" w:rsidRPr="00DA5191">
        <w:rPr>
          <w:rFonts w:asciiTheme="minorHAnsi" w:hAnsiTheme="minorHAnsi"/>
          <w:sz w:val="18"/>
          <w:szCs w:val="18"/>
          <w:lang w:val="en-US"/>
        </w:rPr>
        <w:t>International Working Group</w:t>
      </w:r>
      <w:r w:rsidRPr="00DA5191">
        <w:rPr>
          <w:rFonts w:asciiTheme="minorHAnsi" w:hAnsiTheme="minorHAnsi"/>
          <w:sz w:val="18"/>
          <w:szCs w:val="18"/>
          <w:lang w:val="en-US"/>
        </w:rPr>
        <w:t>; NIA-AA</w:t>
      </w:r>
      <w:r w:rsidR="00DA5191" w:rsidRPr="00DA5191">
        <w:rPr>
          <w:rFonts w:asciiTheme="minorHAnsi" w:hAnsiTheme="minorHAnsi"/>
          <w:sz w:val="18"/>
          <w:szCs w:val="18"/>
          <w:lang w:val="en-US"/>
        </w:rPr>
        <w:t>,</w:t>
      </w:r>
      <w:r w:rsidRPr="00DA5191">
        <w:rPr>
          <w:rFonts w:asciiTheme="minorHAnsi" w:hAnsiTheme="minorHAnsi"/>
          <w:sz w:val="18"/>
          <w:szCs w:val="18"/>
          <w:lang w:val="en-US"/>
        </w:rPr>
        <w:t xml:space="preserve"> </w:t>
      </w:r>
      <w:r w:rsidR="00DA5191" w:rsidRPr="00DA5191">
        <w:rPr>
          <w:rFonts w:asciiTheme="minorHAnsi" w:hAnsiTheme="minorHAnsi"/>
          <w:sz w:val="18"/>
          <w:szCs w:val="18"/>
          <w:lang w:val="en-US"/>
        </w:rPr>
        <w:t xml:space="preserve">National Institute on Aging </w:t>
      </w:r>
      <w:r w:rsidRPr="00DA5191">
        <w:rPr>
          <w:rFonts w:asciiTheme="minorHAnsi" w:hAnsiTheme="minorHAnsi"/>
          <w:sz w:val="18"/>
          <w:szCs w:val="18"/>
          <w:lang w:val="en-US"/>
        </w:rPr>
        <w:t xml:space="preserve">/ Alzheimer’s </w:t>
      </w:r>
      <w:r w:rsidR="00DA5191" w:rsidRPr="00DA5191">
        <w:rPr>
          <w:rFonts w:asciiTheme="minorHAnsi" w:hAnsiTheme="minorHAnsi"/>
          <w:sz w:val="18"/>
          <w:szCs w:val="18"/>
          <w:lang w:val="en-US"/>
        </w:rPr>
        <w:t>A</w:t>
      </w:r>
      <w:r w:rsidRPr="00DA5191">
        <w:rPr>
          <w:rFonts w:asciiTheme="minorHAnsi" w:hAnsiTheme="minorHAnsi"/>
          <w:sz w:val="18"/>
          <w:szCs w:val="18"/>
          <w:lang w:val="en-US"/>
        </w:rPr>
        <w:t>ssociation; P-tau</w:t>
      </w:r>
      <w:r w:rsidRPr="00DA5191">
        <w:rPr>
          <w:rFonts w:asciiTheme="minorHAnsi" w:hAnsiTheme="minorHAnsi"/>
          <w:sz w:val="18"/>
          <w:szCs w:val="18"/>
          <w:vertAlign w:val="subscript"/>
          <w:lang w:val="en-US"/>
        </w:rPr>
        <w:t>181</w:t>
      </w:r>
      <w:r w:rsidR="00DA5191" w:rsidRPr="00DA5191">
        <w:rPr>
          <w:rFonts w:asciiTheme="minorHAnsi" w:hAnsiTheme="minorHAnsi"/>
          <w:sz w:val="18"/>
          <w:szCs w:val="18"/>
          <w:lang w:val="en-US"/>
        </w:rPr>
        <w:t xml:space="preserve">, </w:t>
      </w:r>
      <w:r w:rsidRPr="00DA5191">
        <w:rPr>
          <w:rFonts w:asciiTheme="minorHAnsi" w:hAnsiTheme="minorHAnsi"/>
          <w:sz w:val="18"/>
          <w:szCs w:val="18"/>
          <w:lang w:val="en-US"/>
        </w:rPr>
        <w:t>tau phosphorylated at threonine 181; T-tau</w:t>
      </w:r>
      <w:r w:rsidR="00DA5191" w:rsidRPr="00DA5191">
        <w:rPr>
          <w:rFonts w:asciiTheme="minorHAnsi" w:hAnsiTheme="minorHAnsi"/>
          <w:sz w:val="18"/>
          <w:szCs w:val="18"/>
          <w:lang w:val="en-US"/>
        </w:rPr>
        <w:t>,</w:t>
      </w:r>
      <w:r w:rsidRPr="00DA5191">
        <w:rPr>
          <w:rFonts w:asciiTheme="minorHAnsi" w:hAnsiTheme="minorHAnsi"/>
          <w:sz w:val="18"/>
          <w:szCs w:val="18"/>
          <w:lang w:val="en-US"/>
        </w:rPr>
        <w:t xml:space="preserve"> total tau protein. </w:t>
      </w:r>
      <w:r w:rsidRPr="00DA5191">
        <w:rPr>
          <w:rFonts w:asciiTheme="minorHAnsi" w:hAnsiTheme="minorHAnsi"/>
          <w:sz w:val="18"/>
          <w:szCs w:val="18"/>
          <w:lang w:val="en-US"/>
        </w:rPr>
        <w:br w:type="page"/>
      </w:r>
    </w:p>
    <w:p w14:paraId="521929D0" w14:textId="77777777" w:rsidR="00C230B4" w:rsidRPr="00550266" w:rsidRDefault="00C230B4" w:rsidP="00C230B4">
      <w:pPr>
        <w:spacing w:line="480" w:lineRule="auto"/>
        <w:jc w:val="both"/>
        <w:rPr>
          <w:rFonts w:asciiTheme="minorHAnsi" w:hAnsiTheme="minorHAnsi"/>
          <w:sz w:val="18"/>
          <w:szCs w:val="18"/>
          <w:lang w:val="en-US"/>
        </w:rPr>
        <w:sectPr w:rsidR="00C230B4" w:rsidRPr="00550266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660035" w14:textId="3A8F2C25" w:rsidR="00C230B4" w:rsidRPr="00550266" w:rsidRDefault="001F039E" w:rsidP="00C230B4">
      <w:pPr>
        <w:spacing w:line="480" w:lineRule="auto"/>
        <w:rPr>
          <w:rFonts w:asciiTheme="minorHAnsi" w:hAnsiTheme="minorHAnsi"/>
          <w:b/>
          <w:sz w:val="20"/>
          <w:szCs w:val="20"/>
          <w:lang w:val="en-US"/>
        </w:rPr>
      </w:pPr>
      <w:r>
        <w:rPr>
          <w:rFonts w:asciiTheme="minorHAnsi" w:hAnsiTheme="minorHAnsi"/>
          <w:b/>
          <w:sz w:val="20"/>
          <w:szCs w:val="20"/>
          <w:lang w:val="en-US"/>
        </w:rPr>
        <w:lastRenderedPageBreak/>
        <w:t xml:space="preserve">Supplementary </w:t>
      </w:r>
      <w:r w:rsidR="00C230B4" w:rsidRPr="00550266">
        <w:rPr>
          <w:rFonts w:asciiTheme="minorHAnsi" w:hAnsiTheme="minorHAnsi"/>
          <w:b/>
          <w:sz w:val="20"/>
          <w:szCs w:val="20"/>
          <w:lang w:val="en-US"/>
        </w:rPr>
        <w:t xml:space="preserve">Table 2 </w:t>
      </w:r>
      <w:r w:rsidR="00C230B4" w:rsidRPr="00550266">
        <w:rPr>
          <w:rFonts w:asciiTheme="minorHAnsi" w:hAnsiTheme="minorHAnsi"/>
          <w:sz w:val="20"/>
          <w:szCs w:val="20"/>
          <w:lang w:val="en-US"/>
        </w:rPr>
        <w:t>Clinical and CSF biomarker-based diagnoses versus categorical neuropathological diagnoses of the cohort.</w:t>
      </w:r>
    </w:p>
    <w:tbl>
      <w:tblPr>
        <w:tblStyle w:val="TableGrid"/>
        <w:tblW w:w="1083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2767"/>
        <w:gridCol w:w="1444"/>
        <w:gridCol w:w="1744"/>
        <w:gridCol w:w="1553"/>
        <w:gridCol w:w="290"/>
        <w:gridCol w:w="1845"/>
        <w:gridCol w:w="114"/>
        <w:gridCol w:w="163"/>
      </w:tblGrid>
      <w:tr w:rsidR="001F039E" w:rsidRPr="00550266" w14:paraId="4CF6A159" w14:textId="77777777" w:rsidTr="001F039E">
        <w:trPr>
          <w:gridAfter w:val="2"/>
          <w:wAfter w:w="277" w:type="dxa"/>
        </w:trPr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14:paraId="2622BD75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DCB00EE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hAnsiTheme="minorHAnsi"/>
                <w:b/>
                <w:sz w:val="18"/>
                <w:szCs w:val="16"/>
                <w:lang w:val="en-US"/>
              </w:rPr>
            </w:pPr>
            <w:r w:rsidRPr="00550266">
              <w:rPr>
                <w:rFonts w:asciiTheme="minorHAnsi" w:hAnsiTheme="minorHAnsi"/>
                <w:b/>
                <w:sz w:val="18"/>
                <w:szCs w:val="16"/>
                <w:lang w:val="en-US"/>
              </w:rPr>
              <w:t>Diagnosis (n)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FEF729F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hAnsiTheme="minorHAnsi"/>
                <w:b/>
                <w:sz w:val="18"/>
                <w:szCs w:val="16"/>
                <w:lang w:val="en-US"/>
              </w:rPr>
            </w:pPr>
            <w:r w:rsidRPr="00550266">
              <w:rPr>
                <w:rFonts w:asciiTheme="minorHAnsi" w:hAnsiTheme="minorHAnsi"/>
                <w:b/>
                <w:sz w:val="18"/>
                <w:szCs w:val="16"/>
                <w:lang w:val="en-US"/>
              </w:rPr>
              <w:t>Definite AD (n)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00CEE2A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hAnsiTheme="minorHAnsi"/>
                <w:b/>
                <w:sz w:val="18"/>
                <w:szCs w:val="16"/>
                <w:lang w:val="en-US"/>
              </w:rPr>
            </w:pPr>
            <w:r w:rsidRPr="00550266">
              <w:rPr>
                <w:rFonts w:asciiTheme="minorHAnsi" w:hAnsiTheme="minorHAnsi"/>
                <w:b/>
                <w:sz w:val="18"/>
                <w:szCs w:val="16"/>
                <w:lang w:val="en-US"/>
              </w:rPr>
              <w:t>Definite non-AD (n)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19A823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hAnsiTheme="minorHAnsi"/>
                <w:b/>
                <w:sz w:val="18"/>
                <w:szCs w:val="16"/>
                <w:lang w:val="en-US"/>
              </w:rPr>
            </w:pPr>
            <w:r w:rsidRPr="00550266">
              <w:rPr>
                <w:rFonts w:asciiTheme="minorHAnsi" w:hAnsiTheme="minorHAnsi"/>
                <w:b/>
                <w:sz w:val="18"/>
                <w:szCs w:val="16"/>
                <w:lang w:val="en-US"/>
              </w:rPr>
              <w:t>Definite non-AD with AD co-pathology (n)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2540953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hAnsiTheme="minorHAnsi"/>
                <w:b/>
                <w:sz w:val="18"/>
                <w:szCs w:val="16"/>
                <w:lang w:val="en-US"/>
              </w:rPr>
            </w:pPr>
            <w:r w:rsidRPr="00550266">
              <w:rPr>
                <w:rFonts w:asciiTheme="minorHAnsi" w:hAnsiTheme="minorHAnsi"/>
                <w:b/>
                <w:sz w:val="18"/>
                <w:szCs w:val="16"/>
                <w:lang w:val="en-US"/>
              </w:rPr>
              <w:t>Correct diagnosis (%)</w:t>
            </w:r>
          </w:p>
        </w:tc>
      </w:tr>
      <w:tr w:rsidR="001F039E" w:rsidRPr="00550266" w14:paraId="4697189B" w14:textId="77777777" w:rsidTr="001F039E">
        <w:trPr>
          <w:gridAfter w:val="2"/>
          <w:wAfter w:w="277" w:type="dxa"/>
        </w:trPr>
        <w:tc>
          <w:tcPr>
            <w:tcW w:w="912" w:type="dxa"/>
            <w:vMerge w:val="restart"/>
            <w:tcBorders>
              <w:top w:val="single" w:sz="4" w:space="0" w:color="auto"/>
            </w:tcBorders>
            <w:hideMark/>
          </w:tcPr>
          <w:p w14:paraId="2C98B843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550266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Clinical diagnoses</w:t>
            </w:r>
          </w:p>
        </w:tc>
        <w:tc>
          <w:tcPr>
            <w:tcW w:w="2767" w:type="dxa"/>
            <w:tcBorders>
              <w:top w:val="single" w:sz="4" w:space="0" w:color="auto"/>
            </w:tcBorders>
            <w:hideMark/>
          </w:tcPr>
          <w:p w14:paraId="79E1AF83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 w:cs="AdvTT5235d5a9"/>
                <w:b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Probable AD (26)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hideMark/>
          </w:tcPr>
          <w:p w14:paraId="6217383D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hideMark/>
          </w:tcPr>
          <w:p w14:paraId="2FD55B8C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2725C61B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hAnsiTheme="minorHAnsi" w:cs="AdvTT5235d5a9"/>
                <w:sz w:val="16"/>
                <w:szCs w:val="16"/>
                <w:lang w:val="en-US"/>
              </w:rPr>
            </w:pPr>
            <w:r w:rsidRPr="00550266">
              <w:rPr>
                <w:rFonts w:asciiTheme="minorHAnsi" w:hAnsiTheme="minorHAnsi" w:cs="AdvTT5235d5a9"/>
                <w:sz w:val="16"/>
                <w:szCs w:val="16"/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hideMark/>
          </w:tcPr>
          <w:p w14:paraId="6F2DAEC8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96</w:t>
            </w:r>
          </w:p>
        </w:tc>
      </w:tr>
      <w:tr w:rsidR="001F039E" w:rsidRPr="00550266" w14:paraId="56C6CB9A" w14:textId="77777777" w:rsidTr="001F039E">
        <w:trPr>
          <w:gridAfter w:val="2"/>
          <w:wAfter w:w="277" w:type="dxa"/>
        </w:trPr>
        <w:tc>
          <w:tcPr>
            <w:tcW w:w="912" w:type="dxa"/>
            <w:vMerge/>
            <w:vAlign w:val="center"/>
            <w:hideMark/>
          </w:tcPr>
          <w:p w14:paraId="2D97C628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767" w:type="dxa"/>
            <w:hideMark/>
          </w:tcPr>
          <w:p w14:paraId="3299A9D3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 w:cs="AdvTT5235d5a9"/>
                <w:b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Possible AD (2)</w:t>
            </w:r>
          </w:p>
        </w:tc>
        <w:tc>
          <w:tcPr>
            <w:tcW w:w="1444" w:type="dxa"/>
            <w:hideMark/>
          </w:tcPr>
          <w:p w14:paraId="4C14CD75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744" w:type="dxa"/>
            <w:hideMark/>
          </w:tcPr>
          <w:p w14:paraId="551AD81F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843" w:type="dxa"/>
            <w:gridSpan w:val="2"/>
          </w:tcPr>
          <w:p w14:paraId="01E1F635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hAnsiTheme="minorHAnsi" w:cs="AdvTT5235d5a9"/>
                <w:sz w:val="16"/>
                <w:szCs w:val="16"/>
                <w:lang w:val="en-US"/>
              </w:rPr>
            </w:pPr>
            <w:r w:rsidRPr="00550266">
              <w:rPr>
                <w:rFonts w:asciiTheme="minorHAnsi" w:hAnsiTheme="minorHAnsi" w:cs="AdvTT5235d5a9"/>
                <w:sz w:val="16"/>
                <w:szCs w:val="16"/>
                <w:lang w:val="en-US"/>
              </w:rPr>
              <w:t>0</w:t>
            </w:r>
          </w:p>
        </w:tc>
        <w:tc>
          <w:tcPr>
            <w:tcW w:w="1845" w:type="dxa"/>
            <w:hideMark/>
          </w:tcPr>
          <w:p w14:paraId="54AEF3AB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50</w:t>
            </w:r>
          </w:p>
        </w:tc>
      </w:tr>
      <w:tr w:rsidR="001F039E" w:rsidRPr="00550266" w14:paraId="6B5E4615" w14:textId="77777777" w:rsidTr="001F039E">
        <w:trPr>
          <w:gridAfter w:val="2"/>
          <w:wAfter w:w="277" w:type="dxa"/>
        </w:trPr>
        <w:tc>
          <w:tcPr>
            <w:tcW w:w="912" w:type="dxa"/>
            <w:vMerge/>
            <w:vAlign w:val="center"/>
            <w:hideMark/>
          </w:tcPr>
          <w:p w14:paraId="237DB3AE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767" w:type="dxa"/>
            <w:hideMark/>
          </w:tcPr>
          <w:p w14:paraId="2862E0CC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 w:cs="AdvTT5235d5a9"/>
                <w:b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Probable non-AD (15)</w:t>
            </w:r>
          </w:p>
        </w:tc>
        <w:tc>
          <w:tcPr>
            <w:tcW w:w="1444" w:type="dxa"/>
            <w:hideMark/>
          </w:tcPr>
          <w:p w14:paraId="7456A9A1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744" w:type="dxa"/>
            <w:hideMark/>
          </w:tcPr>
          <w:p w14:paraId="3BB6762E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843" w:type="dxa"/>
            <w:gridSpan w:val="2"/>
          </w:tcPr>
          <w:p w14:paraId="61E0A3BE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hAnsiTheme="minorHAnsi" w:cs="AdvTT5235d5a9"/>
                <w:sz w:val="16"/>
                <w:szCs w:val="16"/>
                <w:lang w:val="en-US"/>
              </w:rPr>
            </w:pPr>
            <w:r w:rsidRPr="00550266">
              <w:rPr>
                <w:rFonts w:asciiTheme="minorHAnsi" w:hAnsiTheme="minorHAnsi" w:cs="AdvTT5235d5a9"/>
                <w:sz w:val="16"/>
                <w:szCs w:val="16"/>
                <w:lang w:val="en-US"/>
              </w:rPr>
              <w:t>1</w:t>
            </w:r>
          </w:p>
        </w:tc>
        <w:tc>
          <w:tcPr>
            <w:tcW w:w="1845" w:type="dxa"/>
            <w:hideMark/>
          </w:tcPr>
          <w:p w14:paraId="01F6927C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71</w:t>
            </w:r>
          </w:p>
        </w:tc>
      </w:tr>
      <w:tr w:rsidR="001F039E" w:rsidRPr="00550266" w14:paraId="729B4AC0" w14:textId="77777777" w:rsidTr="001F039E">
        <w:trPr>
          <w:gridAfter w:val="2"/>
          <w:wAfter w:w="277" w:type="dxa"/>
        </w:trPr>
        <w:tc>
          <w:tcPr>
            <w:tcW w:w="912" w:type="dxa"/>
            <w:vMerge/>
            <w:vAlign w:val="center"/>
            <w:hideMark/>
          </w:tcPr>
          <w:p w14:paraId="1AB385D3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767" w:type="dxa"/>
            <w:hideMark/>
          </w:tcPr>
          <w:p w14:paraId="7421B34F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 w:cs="AdvTT5235d5a9"/>
                <w:b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Possible non-AD (2)</w:t>
            </w:r>
          </w:p>
        </w:tc>
        <w:tc>
          <w:tcPr>
            <w:tcW w:w="1444" w:type="dxa"/>
            <w:hideMark/>
          </w:tcPr>
          <w:p w14:paraId="4BE8DEBA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744" w:type="dxa"/>
            <w:hideMark/>
          </w:tcPr>
          <w:p w14:paraId="3FB55751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843" w:type="dxa"/>
            <w:gridSpan w:val="2"/>
          </w:tcPr>
          <w:p w14:paraId="2AE39EC9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hAnsiTheme="minorHAnsi" w:cs="AdvTT5235d5a9"/>
                <w:sz w:val="16"/>
                <w:szCs w:val="16"/>
                <w:lang w:val="en-US"/>
              </w:rPr>
            </w:pPr>
            <w:r w:rsidRPr="00550266">
              <w:rPr>
                <w:rFonts w:asciiTheme="minorHAnsi" w:hAnsiTheme="minorHAnsi" w:cs="AdvTT5235d5a9"/>
                <w:sz w:val="16"/>
                <w:szCs w:val="16"/>
                <w:lang w:val="en-US"/>
              </w:rPr>
              <w:t>0</w:t>
            </w:r>
          </w:p>
        </w:tc>
        <w:tc>
          <w:tcPr>
            <w:tcW w:w="1845" w:type="dxa"/>
            <w:hideMark/>
          </w:tcPr>
          <w:p w14:paraId="794F4F1F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0</w:t>
            </w:r>
          </w:p>
        </w:tc>
      </w:tr>
      <w:tr w:rsidR="001F039E" w:rsidRPr="00550266" w14:paraId="3AE3DC6E" w14:textId="77777777" w:rsidTr="001F039E">
        <w:trPr>
          <w:gridAfter w:val="2"/>
          <w:wAfter w:w="277" w:type="dxa"/>
        </w:trPr>
        <w:tc>
          <w:tcPr>
            <w:tcW w:w="912" w:type="dxa"/>
            <w:vMerge/>
            <w:vAlign w:val="center"/>
            <w:hideMark/>
          </w:tcPr>
          <w:p w14:paraId="4A8F9692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767" w:type="dxa"/>
            <w:hideMark/>
          </w:tcPr>
          <w:p w14:paraId="01902B65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 w:cs="AdvTT5235d5a9"/>
                <w:b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Probable AD/Probable non-AD (5)</w:t>
            </w:r>
          </w:p>
        </w:tc>
        <w:tc>
          <w:tcPr>
            <w:tcW w:w="1444" w:type="dxa"/>
            <w:hideMark/>
          </w:tcPr>
          <w:p w14:paraId="12DD78B1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744" w:type="dxa"/>
            <w:hideMark/>
          </w:tcPr>
          <w:p w14:paraId="556BDE37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843" w:type="dxa"/>
            <w:gridSpan w:val="2"/>
          </w:tcPr>
          <w:p w14:paraId="2638C700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hAnsiTheme="minorHAnsi" w:cs="AdvTT5235d5a9"/>
                <w:sz w:val="16"/>
                <w:szCs w:val="16"/>
                <w:lang w:val="en-US"/>
              </w:rPr>
            </w:pPr>
            <w:r w:rsidRPr="00550266">
              <w:rPr>
                <w:rFonts w:asciiTheme="minorHAnsi" w:hAnsiTheme="minorHAnsi" w:cs="AdvTT5235d5a9"/>
                <w:sz w:val="16"/>
                <w:szCs w:val="16"/>
                <w:lang w:val="en-US"/>
              </w:rPr>
              <w:t>1</w:t>
            </w:r>
          </w:p>
        </w:tc>
        <w:tc>
          <w:tcPr>
            <w:tcW w:w="1845" w:type="dxa"/>
            <w:hideMark/>
          </w:tcPr>
          <w:p w14:paraId="6B371314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NA</w:t>
            </w:r>
          </w:p>
        </w:tc>
      </w:tr>
      <w:tr w:rsidR="001F039E" w:rsidRPr="00550266" w14:paraId="27A159B6" w14:textId="77777777" w:rsidTr="001F039E">
        <w:trPr>
          <w:gridAfter w:val="2"/>
          <w:wAfter w:w="277" w:type="dxa"/>
        </w:trPr>
        <w:tc>
          <w:tcPr>
            <w:tcW w:w="912" w:type="dxa"/>
            <w:vMerge/>
            <w:vAlign w:val="center"/>
            <w:hideMark/>
          </w:tcPr>
          <w:p w14:paraId="528C2CAB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767" w:type="dxa"/>
            <w:hideMark/>
          </w:tcPr>
          <w:p w14:paraId="669A8B9D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 w:cs="AdvTT5235d5a9"/>
                <w:b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Probable AD/Possible non-AD (15)</w:t>
            </w:r>
          </w:p>
        </w:tc>
        <w:tc>
          <w:tcPr>
            <w:tcW w:w="1444" w:type="dxa"/>
            <w:hideMark/>
          </w:tcPr>
          <w:p w14:paraId="51EAEAAA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744" w:type="dxa"/>
            <w:hideMark/>
          </w:tcPr>
          <w:p w14:paraId="3C39536D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843" w:type="dxa"/>
            <w:gridSpan w:val="2"/>
          </w:tcPr>
          <w:p w14:paraId="7E424400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hAnsiTheme="minorHAnsi" w:cs="AdvTT5235d5a9"/>
                <w:sz w:val="16"/>
                <w:szCs w:val="16"/>
                <w:lang w:val="en-US"/>
              </w:rPr>
            </w:pPr>
            <w:r w:rsidRPr="00550266">
              <w:rPr>
                <w:rFonts w:asciiTheme="minorHAnsi" w:hAnsiTheme="minorHAnsi" w:cs="AdvTT5235d5a9"/>
                <w:sz w:val="16"/>
                <w:szCs w:val="16"/>
                <w:lang w:val="en-US"/>
              </w:rPr>
              <w:t>2</w:t>
            </w:r>
          </w:p>
        </w:tc>
        <w:tc>
          <w:tcPr>
            <w:tcW w:w="1845" w:type="dxa"/>
            <w:hideMark/>
          </w:tcPr>
          <w:p w14:paraId="4F37B82C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53</w:t>
            </w:r>
          </w:p>
        </w:tc>
      </w:tr>
      <w:tr w:rsidR="001F039E" w:rsidRPr="00550266" w14:paraId="440F63C8" w14:textId="77777777" w:rsidTr="001F039E">
        <w:trPr>
          <w:gridAfter w:val="2"/>
          <w:wAfter w:w="277" w:type="dxa"/>
        </w:trPr>
        <w:tc>
          <w:tcPr>
            <w:tcW w:w="912" w:type="dxa"/>
            <w:vMerge/>
            <w:vAlign w:val="center"/>
            <w:hideMark/>
          </w:tcPr>
          <w:p w14:paraId="73FB59E7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767" w:type="dxa"/>
            <w:hideMark/>
          </w:tcPr>
          <w:p w14:paraId="0CB4FB5E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 w:cs="AdvTT5235d5a9"/>
                <w:b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Probable non-AD/Possible AD (3)</w:t>
            </w:r>
          </w:p>
        </w:tc>
        <w:tc>
          <w:tcPr>
            <w:tcW w:w="1444" w:type="dxa"/>
            <w:hideMark/>
          </w:tcPr>
          <w:p w14:paraId="161BEFC9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744" w:type="dxa"/>
            <w:hideMark/>
          </w:tcPr>
          <w:p w14:paraId="48CAB30F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843" w:type="dxa"/>
            <w:gridSpan w:val="2"/>
          </w:tcPr>
          <w:p w14:paraId="23441367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hAnsiTheme="minorHAnsi" w:cs="AdvTT5235d5a9"/>
                <w:sz w:val="16"/>
                <w:szCs w:val="16"/>
                <w:lang w:val="en-US"/>
              </w:rPr>
            </w:pPr>
            <w:r w:rsidRPr="00550266">
              <w:rPr>
                <w:rFonts w:asciiTheme="minorHAnsi" w:hAnsiTheme="minorHAnsi" w:cs="AdvTT5235d5a9"/>
                <w:sz w:val="16"/>
                <w:szCs w:val="16"/>
                <w:lang w:val="en-US"/>
              </w:rPr>
              <w:t>1</w:t>
            </w:r>
          </w:p>
        </w:tc>
        <w:tc>
          <w:tcPr>
            <w:tcW w:w="1845" w:type="dxa"/>
            <w:hideMark/>
          </w:tcPr>
          <w:p w14:paraId="05A91ECD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100</w:t>
            </w:r>
          </w:p>
        </w:tc>
      </w:tr>
      <w:tr w:rsidR="001F039E" w:rsidRPr="00550266" w14:paraId="5D274771" w14:textId="77777777" w:rsidTr="001F039E">
        <w:trPr>
          <w:gridAfter w:val="2"/>
          <w:wAfter w:w="277" w:type="dxa"/>
        </w:trPr>
        <w:tc>
          <w:tcPr>
            <w:tcW w:w="912" w:type="dxa"/>
            <w:vMerge/>
            <w:vAlign w:val="center"/>
            <w:hideMark/>
          </w:tcPr>
          <w:p w14:paraId="1D73CA2C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767" w:type="dxa"/>
            <w:hideMark/>
          </w:tcPr>
          <w:p w14:paraId="7E1FBDA4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 w:cs="AdvTT5235d5a9"/>
                <w:b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Possible AD/Possible non-AD (1)</w:t>
            </w:r>
          </w:p>
        </w:tc>
        <w:tc>
          <w:tcPr>
            <w:tcW w:w="1444" w:type="dxa"/>
            <w:hideMark/>
          </w:tcPr>
          <w:p w14:paraId="22BB3D9B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744" w:type="dxa"/>
            <w:hideMark/>
          </w:tcPr>
          <w:p w14:paraId="0437350F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843" w:type="dxa"/>
            <w:gridSpan w:val="2"/>
          </w:tcPr>
          <w:p w14:paraId="54FB3A71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hAnsiTheme="minorHAnsi" w:cs="AdvTT5235d5a9"/>
                <w:sz w:val="16"/>
                <w:szCs w:val="16"/>
                <w:lang w:val="en-US"/>
              </w:rPr>
            </w:pPr>
            <w:r w:rsidRPr="00550266">
              <w:rPr>
                <w:rFonts w:asciiTheme="minorHAnsi" w:hAnsiTheme="minorHAnsi" w:cs="AdvTT5235d5a9"/>
                <w:sz w:val="16"/>
                <w:szCs w:val="16"/>
                <w:lang w:val="en-US"/>
              </w:rPr>
              <w:t>0</w:t>
            </w:r>
          </w:p>
        </w:tc>
        <w:tc>
          <w:tcPr>
            <w:tcW w:w="1845" w:type="dxa"/>
            <w:hideMark/>
          </w:tcPr>
          <w:p w14:paraId="44FDF185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NA</w:t>
            </w:r>
          </w:p>
        </w:tc>
      </w:tr>
      <w:tr w:rsidR="001F039E" w:rsidRPr="00550266" w14:paraId="76DD0F5D" w14:textId="77777777" w:rsidTr="001F039E">
        <w:trPr>
          <w:gridAfter w:val="2"/>
          <w:wAfter w:w="277" w:type="dxa"/>
        </w:trPr>
        <w:tc>
          <w:tcPr>
            <w:tcW w:w="912" w:type="dxa"/>
            <w:vMerge/>
            <w:vAlign w:val="center"/>
            <w:hideMark/>
          </w:tcPr>
          <w:p w14:paraId="46ECA8DF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767" w:type="dxa"/>
            <w:hideMark/>
          </w:tcPr>
          <w:p w14:paraId="00173F4B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 w:cs="AdvTT5235d5a9"/>
                <w:b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Probable non-AD/Probable non-AD (1)</w:t>
            </w:r>
          </w:p>
        </w:tc>
        <w:tc>
          <w:tcPr>
            <w:tcW w:w="1444" w:type="dxa"/>
            <w:hideMark/>
          </w:tcPr>
          <w:p w14:paraId="16E3D047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744" w:type="dxa"/>
            <w:hideMark/>
          </w:tcPr>
          <w:p w14:paraId="3CB9F7D4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843" w:type="dxa"/>
            <w:gridSpan w:val="2"/>
          </w:tcPr>
          <w:p w14:paraId="456564D0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hAnsiTheme="minorHAnsi" w:cs="AdvTT5235d5a9"/>
                <w:sz w:val="16"/>
                <w:szCs w:val="16"/>
                <w:lang w:val="en-US"/>
              </w:rPr>
            </w:pPr>
            <w:r w:rsidRPr="00550266">
              <w:rPr>
                <w:rFonts w:asciiTheme="minorHAnsi" w:hAnsiTheme="minorHAnsi" w:cs="AdvTT5235d5a9"/>
                <w:sz w:val="16"/>
                <w:szCs w:val="16"/>
                <w:lang w:val="en-US"/>
              </w:rPr>
              <w:t>0</w:t>
            </w:r>
          </w:p>
        </w:tc>
        <w:tc>
          <w:tcPr>
            <w:tcW w:w="1845" w:type="dxa"/>
            <w:hideMark/>
          </w:tcPr>
          <w:p w14:paraId="5DD95D4C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0</w:t>
            </w:r>
          </w:p>
        </w:tc>
      </w:tr>
      <w:tr w:rsidR="001F039E" w:rsidRPr="00550266" w14:paraId="2044966A" w14:textId="77777777" w:rsidTr="001F039E">
        <w:trPr>
          <w:gridAfter w:val="2"/>
          <w:wAfter w:w="277" w:type="dxa"/>
        </w:trPr>
        <w:tc>
          <w:tcPr>
            <w:tcW w:w="912" w:type="dxa"/>
            <w:vMerge/>
            <w:vAlign w:val="center"/>
            <w:hideMark/>
          </w:tcPr>
          <w:p w14:paraId="19A34C10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767" w:type="dxa"/>
            <w:hideMark/>
          </w:tcPr>
          <w:p w14:paraId="28A9BD3B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 w:cs="AdvTT5235d5a9"/>
                <w:b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Probable non-AD/Possible non-AD (1)</w:t>
            </w:r>
          </w:p>
        </w:tc>
        <w:tc>
          <w:tcPr>
            <w:tcW w:w="1444" w:type="dxa"/>
            <w:hideMark/>
          </w:tcPr>
          <w:p w14:paraId="12CD5BD9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744" w:type="dxa"/>
            <w:hideMark/>
          </w:tcPr>
          <w:p w14:paraId="6B495E62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843" w:type="dxa"/>
            <w:gridSpan w:val="2"/>
          </w:tcPr>
          <w:p w14:paraId="78B6CB89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hAnsiTheme="minorHAnsi" w:cs="AdvTT5235d5a9"/>
                <w:sz w:val="16"/>
                <w:szCs w:val="16"/>
                <w:lang w:val="en-US"/>
              </w:rPr>
            </w:pPr>
            <w:r w:rsidRPr="00550266">
              <w:rPr>
                <w:rFonts w:asciiTheme="minorHAnsi" w:hAnsiTheme="minorHAnsi" w:cs="AdvTT5235d5a9"/>
                <w:sz w:val="16"/>
                <w:szCs w:val="16"/>
                <w:lang w:val="en-US"/>
              </w:rPr>
              <w:t>1</w:t>
            </w:r>
          </w:p>
        </w:tc>
        <w:tc>
          <w:tcPr>
            <w:tcW w:w="1845" w:type="dxa"/>
            <w:hideMark/>
          </w:tcPr>
          <w:p w14:paraId="17AB4361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100</w:t>
            </w:r>
          </w:p>
        </w:tc>
      </w:tr>
      <w:tr w:rsidR="001F039E" w:rsidRPr="00550266" w14:paraId="566123C5" w14:textId="77777777" w:rsidTr="001F039E">
        <w:trPr>
          <w:gridAfter w:val="2"/>
          <w:wAfter w:w="277" w:type="dxa"/>
        </w:trPr>
        <w:tc>
          <w:tcPr>
            <w:tcW w:w="912" w:type="dxa"/>
          </w:tcPr>
          <w:p w14:paraId="024B2080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767" w:type="dxa"/>
          </w:tcPr>
          <w:p w14:paraId="172A86A0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</w:p>
        </w:tc>
        <w:tc>
          <w:tcPr>
            <w:tcW w:w="1444" w:type="dxa"/>
          </w:tcPr>
          <w:p w14:paraId="557B5D7A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</w:p>
        </w:tc>
        <w:tc>
          <w:tcPr>
            <w:tcW w:w="1744" w:type="dxa"/>
          </w:tcPr>
          <w:p w14:paraId="78BDE862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</w:p>
        </w:tc>
        <w:tc>
          <w:tcPr>
            <w:tcW w:w="1843" w:type="dxa"/>
            <w:gridSpan w:val="2"/>
          </w:tcPr>
          <w:p w14:paraId="2888FA5A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hAnsiTheme="minorHAnsi" w:cs="AdvTT5235d5a9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</w:tcPr>
          <w:p w14:paraId="29F92730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</w:p>
        </w:tc>
      </w:tr>
      <w:tr w:rsidR="001F039E" w:rsidRPr="00550266" w14:paraId="1D489F1B" w14:textId="77777777" w:rsidTr="001F039E">
        <w:trPr>
          <w:gridAfter w:val="1"/>
          <w:wAfter w:w="163" w:type="dxa"/>
        </w:trPr>
        <w:tc>
          <w:tcPr>
            <w:tcW w:w="912" w:type="dxa"/>
          </w:tcPr>
          <w:p w14:paraId="67A61368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767" w:type="dxa"/>
          </w:tcPr>
          <w:p w14:paraId="69436AA0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</w:p>
        </w:tc>
        <w:tc>
          <w:tcPr>
            <w:tcW w:w="1444" w:type="dxa"/>
          </w:tcPr>
          <w:p w14:paraId="5A5E60E7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Sensitivity = 82</w:t>
            </w: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br/>
              <w:t>Specificity = 60</w:t>
            </w:r>
          </w:p>
        </w:tc>
        <w:tc>
          <w:tcPr>
            <w:tcW w:w="5546" w:type="dxa"/>
            <w:gridSpan w:val="5"/>
          </w:tcPr>
          <w:p w14:paraId="71B86385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Positive predicted value = 80</w:t>
            </w:r>
          </w:p>
          <w:p w14:paraId="49CECAD8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Negative predicted value = 63</w:t>
            </w:r>
          </w:p>
        </w:tc>
      </w:tr>
      <w:tr w:rsidR="001F039E" w:rsidRPr="00550266" w14:paraId="3AEE71F7" w14:textId="77777777" w:rsidTr="001F039E">
        <w:trPr>
          <w:gridAfter w:val="2"/>
          <w:wAfter w:w="277" w:type="dxa"/>
        </w:trPr>
        <w:tc>
          <w:tcPr>
            <w:tcW w:w="912" w:type="dxa"/>
          </w:tcPr>
          <w:p w14:paraId="060C9219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767" w:type="dxa"/>
          </w:tcPr>
          <w:p w14:paraId="2B4D80E8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</w:p>
        </w:tc>
        <w:tc>
          <w:tcPr>
            <w:tcW w:w="1444" w:type="dxa"/>
          </w:tcPr>
          <w:p w14:paraId="5757041E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</w:p>
        </w:tc>
        <w:tc>
          <w:tcPr>
            <w:tcW w:w="1744" w:type="dxa"/>
          </w:tcPr>
          <w:p w14:paraId="4045E9CF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</w:p>
        </w:tc>
        <w:tc>
          <w:tcPr>
            <w:tcW w:w="1843" w:type="dxa"/>
            <w:gridSpan w:val="2"/>
          </w:tcPr>
          <w:p w14:paraId="55278E27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hAnsiTheme="minorHAnsi" w:cs="AdvTT5235d5a9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</w:tcPr>
          <w:p w14:paraId="698553D8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</w:p>
        </w:tc>
      </w:tr>
      <w:tr w:rsidR="001F039E" w:rsidRPr="00550266" w14:paraId="2EDF0FEB" w14:textId="77777777" w:rsidTr="001F039E">
        <w:trPr>
          <w:gridAfter w:val="2"/>
          <w:wAfter w:w="277" w:type="dxa"/>
        </w:trPr>
        <w:tc>
          <w:tcPr>
            <w:tcW w:w="912" w:type="dxa"/>
            <w:vMerge w:val="restart"/>
            <w:hideMark/>
          </w:tcPr>
          <w:p w14:paraId="6896EB2B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550266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Biomarker diagnoses based on IWG-2 </w:t>
            </w:r>
          </w:p>
        </w:tc>
        <w:tc>
          <w:tcPr>
            <w:tcW w:w="2767" w:type="dxa"/>
            <w:hideMark/>
          </w:tcPr>
          <w:p w14:paraId="00C8B3AE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Suggestive for AD (56 [20])</w:t>
            </w:r>
          </w:p>
        </w:tc>
        <w:tc>
          <w:tcPr>
            <w:tcW w:w="1444" w:type="dxa"/>
            <w:hideMark/>
          </w:tcPr>
          <w:p w14:paraId="2EA1D2A2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36 [9]</w:t>
            </w:r>
          </w:p>
        </w:tc>
        <w:tc>
          <w:tcPr>
            <w:tcW w:w="1744" w:type="dxa"/>
            <w:hideMark/>
          </w:tcPr>
          <w:p w14:paraId="111A6214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13 [7]</w:t>
            </w:r>
          </w:p>
        </w:tc>
        <w:tc>
          <w:tcPr>
            <w:tcW w:w="1843" w:type="dxa"/>
            <w:gridSpan w:val="2"/>
          </w:tcPr>
          <w:p w14:paraId="3C315459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hAnsiTheme="minorHAnsi" w:cs="AdvTT5235d5a9"/>
                <w:sz w:val="16"/>
                <w:szCs w:val="16"/>
                <w:lang w:val="en-US"/>
              </w:rPr>
            </w:pPr>
            <w:r w:rsidRPr="00550266">
              <w:rPr>
                <w:rFonts w:asciiTheme="minorHAnsi" w:hAnsiTheme="minorHAnsi" w:cs="AdvTT5235d5a9"/>
                <w:sz w:val="16"/>
                <w:szCs w:val="16"/>
                <w:lang w:val="en-US"/>
              </w:rPr>
              <w:t>7 [4]</w:t>
            </w:r>
          </w:p>
        </w:tc>
        <w:tc>
          <w:tcPr>
            <w:tcW w:w="1845" w:type="dxa"/>
            <w:hideMark/>
          </w:tcPr>
          <w:p w14:paraId="4B7DA991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76 [65]</w:t>
            </w:r>
          </w:p>
        </w:tc>
      </w:tr>
      <w:tr w:rsidR="001F039E" w:rsidRPr="00550266" w14:paraId="3A317611" w14:textId="77777777" w:rsidTr="001F039E">
        <w:trPr>
          <w:gridAfter w:val="2"/>
          <w:wAfter w:w="277" w:type="dxa"/>
        </w:trPr>
        <w:tc>
          <w:tcPr>
            <w:tcW w:w="912" w:type="dxa"/>
            <w:vMerge/>
            <w:vAlign w:val="center"/>
            <w:hideMark/>
          </w:tcPr>
          <w:p w14:paraId="3E7287F5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767" w:type="dxa"/>
            <w:hideMark/>
          </w:tcPr>
          <w:p w14:paraId="4AD696D3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Not suggestive for AD (15 [4])</w:t>
            </w:r>
          </w:p>
        </w:tc>
        <w:tc>
          <w:tcPr>
            <w:tcW w:w="1444" w:type="dxa"/>
            <w:hideMark/>
          </w:tcPr>
          <w:p w14:paraId="2564E7CF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6 [1]</w:t>
            </w:r>
          </w:p>
          <w:p w14:paraId="2B1DAACB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</w:p>
        </w:tc>
        <w:tc>
          <w:tcPr>
            <w:tcW w:w="1744" w:type="dxa"/>
            <w:hideMark/>
          </w:tcPr>
          <w:p w14:paraId="2C2E093C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9 [3]</w:t>
            </w:r>
          </w:p>
        </w:tc>
        <w:tc>
          <w:tcPr>
            <w:tcW w:w="1843" w:type="dxa"/>
            <w:gridSpan w:val="2"/>
          </w:tcPr>
          <w:p w14:paraId="7D251451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hAnsiTheme="minorHAnsi" w:cs="AdvTT5235d5a9"/>
                <w:sz w:val="16"/>
                <w:szCs w:val="16"/>
                <w:lang w:val="en-US"/>
              </w:rPr>
            </w:pPr>
            <w:r w:rsidRPr="00550266">
              <w:rPr>
                <w:rFonts w:asciiTheme="minorHAnsi" w:hAnsiTheme="minorHAnsi" w:cs="AdvTT5235d5a9"/>
                <w:sz w:val="16"/>
                <w:szCs w:val="16"/>
                <w:lang w:val="en-US"/>
              </w:rPr>
              <w:t>0 [0]</w:t>
            </w:r>
          </w:p>
        </w:tc>
        <w:tc>
          <w:tcPr>
            <w:tcW w:w="1845" w:type="dxa"/>
            <w:hideMark/>
          </w:tcPr>
          <w:p w14:paraId="1289593F" w14:textId="77777777" w:rsidR="00C230B4" w:rsidRPr="00550266" w:rsidRDefault="00C230B4" w:rsidP="001F039E">
            <w:pPr>
              <w:spacing w:line="480" w:lineRule="auto"/>
              <w:jc w:val="center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60 [75]</w:t>
            </w:r>
          </w:p>
        </w:tc>
      </w:tr>
      <w:tr w:rsidR="001F039E" w:rsidRPr="00550266" w14:paraId="0F064B7B" w14:textId="77777777" w:rsidTr="001F039E">
        <w:trPr>
          <w:gridAfter w:val="1"/>
          <w:wAfter w:w="163" w:type="dxa"/>
        </w:trPr>
        <w:tc>
          <w:tcPr>
            <w:tcW w:w="912" w:type="dxa"/>
          </w:tcPr>
          <w:p w14:paraId="168B3C26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767" w:type="dxa"/>
          </w:tcPr>
          <w:p w14:paraId="768F4CB4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</w:p>
        </w:tc>
        <w:tc>
          <w:tcPr>
            <w:tcW w:w="1444" w:type="dxa"/>
          </w:tcPr>
          <w:p w14:paraId="727E797E" w14:textId="77777777" w:rsidR="00C230B4" w:rsidRPr="00550266" w:rsidRDefault="00C230B4" w:rsidP="003076ED">
            <w:pPr>
              <w:spacing w:line="480" w:lineRule="auto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Sensitivity = 88</w:t>
            </w: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br/>
            </w: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lastRenderedPageBreak/>
              <w:t>Specificity = 68</w:t>
            </w:r>
          </w:p>
        </w:tc>
        <w:tc>
          <w:tcPr>
            <w:tcW w:w="5546" w:type="dxa"/>
            <w:gridSpan w:val="5"/>
          </w:tcPr>
          <w:p w14:paraId="7907CA62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lastRenderedPageBreak/>
              <w:t>Positive predicted value = 76</w:t>
            </w:r>
          </w:p>
          <w:p w14:paraId="3AEC1C4B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lastRenderedPageBreak/>
              <w:t>Negative predicted value = 68</w:t>
            </w:r>
          </w:p>
        </w:tc>
      </w:tr>
      <w:tr w:rsidR="001F039E" w:rsidRPr="00550266" w14:paraId="75F0472B" w14:textId="77777777" w:rsidTr="001F039E">
        <w:trPr>
          <w:gridAfter w:val="2"/>
          <w:wAfter w:w="277" w:type="dxa"/>
        </w:trPr>
        <w:tc>
          <w:tcPr>
            <w:tcW w:w="912" w:type="dxa"/>
          </w:tcPr>
          <w:p w14:paraId="7F8A662D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767" w:type="dxa"/>
          </w:tcPr>
          <w:p w14:paraId="7B7ECAE6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</w:p>
        </w:tc>
        <w:tc>
          <w:tcPr>
            <w:tcW w:w="1444" w:type="dxa"/>
          </w:tcPr>
          <w:p w14:paraId="4A3AD1D0" w14:textId="77777777" w:rsidR="00C230B4" w:rsidRPr="00550266" w:rsidRDefault="00C230B4" w:rsidP="003076ED">
            <w:pPr>
              <w:spacing w:line="480" w:lineRule="auto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</w:p>
        </w:tc>
        <w:tc>
          <w:tcPr>
            <w:tcW w:w="1744" w:type="dxa"/>
          </w:tcPr>
          <w:p w14:paraId="4D9006EE" w14:textId="77777777" w:rsidR="00C230B4" w:rsidRPr="00550266" w:rsidRDefault="00C230B4" w:rsidP="003076ED">
            <w:pPr>
              <w:spacing w:line="480" w:lineRule="auto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</w:p>
        </w:tc>
        <w:tc>
          <w:tcPr>
            <w:tcW w:w="1843" w:type="dxa"/>
            <w:gridSpan w:val="2"/>
          </w:tcPr>
          <w:p w14:paraId="2966C7A8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hAnsiTheme="minorHAnsi" w:cs="AdvTT5235d5a9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</w:tcPr>
          <w:p w14:paraId="670640C9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</w:p>
        </w:tc>
      </w:tr>
      <w:tr w:rsidR="001F039E" w:rsidRPr="00550266" w14:paraId="098F6CB7" w14:textId="77777777" w:rsidTr="001F039E">
        <w:trPr>
          <w:gridAfter w:val="2"/>
          <w:wAfter w:w="277" w:type="dxa"/>
        </w:trPr>
        <w:tc>
          <w:tcPr>
            <w:tcW w:w="912" w:type="dxa"/>
            <w:vMerge w:val="restart"/>
            <w:hideMark/>
          </w:tcPr>
          <w:p w14:paraId="1DE728E5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550266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Biomarker diagnoses based on NIA-AA</w:t>
            </w:r>
          </w:p>
        </w:tc>
        <w:tc>
          <w:tcPr>
            <w:tcW w:w="2767" w:type="dxa"/>
            <w:hideMark/>
          </w:tcPr>
          <w:p w14:paraId="48189ECD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High likelihood of AD (56 [20])</w:t>
            </w:r>
          </w:p>
        </w:tc>
        <w:tc>
          <w:tcPr>
            <w:tcW w:w="1444" w:type="dxa"/>
            <w:hideMark/>
          </w:tcPr>
          <w:p w14:paraId="7390EE7E" w14:textId="77777777" w:rsidR="00C230B4" w:rsidRPr="00550266" w:rsidRDefault="00C230B4" w:rsidP="003076ED">
            <w:pPr>
              <w:spacing w:line="480" w:lineRule="auto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36 [9]</w:t>
            </w:r>
          </w:p>
        </w:tc>
        <w:tc>
          <w:tcPr>
            <w:tcW w:w="1744" w:type="dxa"/>
            <w:hideMark/>
          </w:tcPr>
          <w:p w14:paraId="1A1A57AE" w14:textId="77777777" w:rsidR="00C230B4" w:rsidRPr="00550266" w:rsidRDefault="00C230B4" w:rsidP="003076ED">
            <w:pPr>
              <w:spacing w:line="480" w:lineRule="auto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13 [7]</w:t>
            </w:r>
          </w:p>
        </w:tc>
        <w:tc>
          <w:tcPr>
            <w:tcW w:w="1843" w:type="dxa"/>
            <w:gridSpan w:val="2"/>
          </w:tcPr>
          <w:p w14:paraId="7FA26415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hAnsiTheme="minorHAnsi" w:cs="AdvTT5235d5a9"/>
                <w:sz w:val="16"/>
                <w:szCs w:val="16"/>
                <w:lang w:val="en-US"/>
              </w:rPr>
            </w:pPr>
            <w:r w:rsidRPr="00550266">
              <w:rPr>
                <w:rFonts w:asciiTheme="minorHAnsi" w:hAnsiTheme="minorHAnsi" w:cs="AdvTT5235d5a9"/>
                <w:sz w:val="16"/>
                <w:szCs w:val="16"/>
                <w:lang w:val="en-US"/>
              </w:rPr>
              <w:t>7 [4]</w:t>
            </w:r>
          </w:p>
        </w:tc>
        <w:tc>
          <w:tcPr>
            <w:tcW w:w="1845" w:type="dxa"/>
            <w:hideMark/>
          </w:tcPr>
          <w:p w14:paraId="13E66A79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76 [65]</w:t>
            </w:r>
          </w:p>
        </w:tc>
      </w:tr>
      <w:tr w:rsidR="001F039E" w:rsidRPr="00550266" w14:paraId="10D7F192" w14:textId="77777777" w:rsidTr="001F039E">
        <w:trPr>
          <w:gridAfter w:val="2"/>
          <w:wAfter w:w="277" w:type="dxa"/>
        </w:trPr>
        <w:tc>
          <w:tcPr>
            <w:tcW w:w="912" w:type="dxa"/>
            <w:vMerge/>
            <w:vAlign w:val="center"/>
            <w:hideMark/>
          </w:tcPr>
          <w:p w14:paraId="5E4A6A44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767" w:type="dxa"/>
            <w:hideMark/>
          </w:tcPr>
          <w:p w14:paraId="67DB9EF9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Intermediate likelihood of AD (14 [3])</w:t>
            </w:r>
          </w:p>
        </w:tc>
        <w:tc>
          <w:tcPr>
            <w:tcW w:w="1444" w:type="dxa"/>
            <w:hideMark/>
          </w:tcPr>
          <w:p w14:paraId="6F6EA25A" w14:textId="77777777" w:rsidR="00C230B4" w:rsidRPr="00550266" w:rsidRDefault="00C230B4" w:rsidP="003076ED">
            <w:pPr>
              <w:spacing w:line="480" w:lineRule="auto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6 [1]</w:t>
            </w:r>
          </w:p>
        </w:tc>
        <w:tc>
          <w:tcPr>
            <w:tcW w:w="1744" w:type="dxa"/>
            <w:hideMark/>
          </w:tcPr>
          <w:p w14:paraId="0257461E" w14:textId="77777777" w:rsidR="00C230B4" w:rsidRPr="00550266" w:rsidRDefault="00C230B4" w:rsidP="003076ED">
            <w:pPr>
              <w:spacing w:line="480" w:lineRule="auto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8 [2]</w:t>
            </w:r>
          </w:p>
        </w:tc>
        <w:tc>
          <w:tcPr>
            <w:tcW w:w="1843" w:type="dxa"/>
            <w:gridSpan w:val="2"/>
          </w:tcPr>
          <w:p w14:paraId="6929A445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hAnsiTheme="minorHAnsi" w:cs="AdvTT5235d5a9"/>
                <w:sz w:val="16"/>
                <w:szCs w:val="16"/>
                <w:lang w:val="en-US"/>
              </w:rPr>
            </w:pPr>
            <w:r w:rsidRPr="00550266">
              <w:rPr>
                <w:rFonts w:asciiTheme="minorHAnsi" w:hAnsiTheme="minorHAnsi" w:cs="AdvTT5235d5a9"/>
                <w:sz w:val="16"/>
                <w:szCs w:val="16"/>
                <w:lang w:val="en-US"/>
              </w:rPr>
              <w:t>0 [0]</w:t>
            </w:r>
          </w:p>
        </w:tc>
        <w:tc>
          <w:tcPr>
            <w:tcW w:w="1845" w:type="dxa"/>
            <w:hideMark/>
          </w:tcPr>
          <w:p w14:paraId="7D8FCDD2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NA</w:t>
            </w:r>
          </w:p>
        </w:tc>
      </w:tr>
      <w:tr w:rsidR="001F039E" w:rsidRPr="00550266" w14:paraId="173C8BD1" w14:textId="77777777" w:rsidTr="001F039E">
        <w:trPr>
          <w:gridAfter w:val="2"/>
          <w:wAfter w:w="277" w:type="dxa"/>
        </w:trPr>
        <w:tc>
          <w:tcPr>
            <w:tcW w:w="912" w:type="dxa"/>
            <w:vMerge/>
            <w:vAlign w:val="center"/>
            <w:hideMark/>
          </w:tcPr>
          <w:p w14:paraId="475B2051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767" w:type="dxa"/>
            <w:hideMark/>
          </w:tcPr>
          <w:p w14:paraId="0DF398B3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Low likelihood of AD (1 [1])</w:t>
            </w:r>
          </w:p>
        </w:tc>
        <w:tc>
          <w:tcPr>
            <w:tcW w:w="1444" w:type="dxa"/>
            <w:hideMark/>
          </w:tcPr>
          <w:p w14:paraId="5535B343" w14:textId="77777777" w:rsidR="00C230B4" w:rsidRPr="00550266" w:rsidRDefault="00C230B4" w:rsidP="003076ED">
            <w:pPr>
              <w:spacing w:line="480" w:lineRule="auto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0 [0]</w:t>
            </w:r>
          </w:p>
        </w:tc>
        <w:tc>
          <w:tcPr>
            <w:tcW w:w="1744" w:type="dxa"/>
            <w:hideMark/>
          </w:tcPr>
          <w:p w14:paraId="082AFFF0" w14:textId="77777777" w:rsidR="00C230B4" w:rsidRPr="00550266" w:rsidRDefault="00C230B4" w:rsidP="003076ED">
            <w:pPr>
              <w:spacing w:line="480" w:lineRule="auto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1 [1]</w:t>
            </w:r>
          </w:p>
        </w:tc>
        <w:tc>
          <w:tcPr>
            <w:tcW w:w="1843" w:type="dxa"/>
            <w:gridSpan w:val="2"/>
          </w:tcPr>
          <w:p w14:paraId="74A9518E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hAnsiTheme="minorHAnsi" w:cs="AdvTT5235d5a9"/>
                <w:sz w:val="16"/>
                <w:szCs w:val="16"/>
                <w:lang w:val="en-US"/>
              </w:rPr>
            </w:pPr>
            <w:r w:rsidRPr="00550266">
              <w:rPr>
                <w:rFonts w:asciiTheme="minorHAnsi" w:hAnsiTheme="minorHAnsi" w:cs="AdvTT5235d5a9"/>
                <w:sz w:val="16"/>
                <w:szCs w:val="16"/>
                <w:lang w:val="en-US"/>
              </w:rPr>
              <w:t>0 [0]</w:t>
            </w:r>
          </w:p>
        </w:tc>
        <w:tc>
          <w:tcPr>
            <w:tcW w:w="1845" w:type="dxa"/>
            <w:hideMark/>
          </w:tcPr>
          <w:p w14:paraId="1EAABDB5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100 [100]</w:t>
            </w:r>
          </w:p>
        </w:tc>
      </w:tr>
      <w:tr w:rsidR="001F039E" w:rsidRPr="00550266" w14:paraId="252E3A49" w14:textId="77777777" w:rsidTr="001F039E">
        <w:trPr>
          <w:gridAfter w:val="2"/>
          <w:wAfter w:w="277" w:type="dxa"/>
        </w:trPr>
        <w:tc>
          <w:tcPr>
            <w:tcW w:w="912" w:type="dxa"/>
            <w:vAlign w:val="center"/>
          </w:tcPr>
          <w:p w14:paraId="08CC9A36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767" w:type="dxa"/>
          </w:tcPr>
          <w:p w14:paraId="2C44AF75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</w:p>
        </w:tc>
        <w:tc>
          <w:tcPr>
            <w:tcW w:w="1444" w:type="dxa"/>
          </w:tcPr>
          <w:p w14:paraId="620BEAED" w14:textId="77777777" w:rsidR="00C230B4" w:rsidRPr="00550266" w:rsidRDefault="00C230B4" w:rsidP="003076ED">
            <w:pPr>
              <w:spacing w:line="480" w:lineRule="auto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</w:p>
        </w:tc>
        <w:tc>
          <w:tcPr>
            <w:tcW w:w="1744" w:type="dxa"/>
          </w:tcPr>
          <w:p w14:paraId="7E40749D" w14:textId="77777777" w:rsidR="00C230B4" w:rsidRPr="00550266" w:rsidRDefault="00C230B4" w:rsidP="003076ED">
            <w:pPr>
              <w:spacing w:line="480" w:lineRule="auto"/>
              <w:rPr>
                <w:rFonts w:asciiTheme="minorHAnsi" w:hAnsiTheme="minorHAnsi" w:cs="AdvTT5235d5a9"/>
                <w:sz w:val="16"/>
                <w:szCs w:val="16"/>
                <w:lang w:val="en-US"/>
              </w:rPr>
            </w:pPr>
          </w:p>
        </w:tc>
        <w:tc>
          <w:tcPr>
            <w:tcW w:w="3688" w:type="dxa"/>
            <w:gridSpan w:val="3"/>
          </w:tcPr>
          <w:p w14:paraId="09C6A82B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</w:p>
        </w:tc>
      </w:tr>
      <w:tr w:rsidR="001F039E" w:rsidRPr="00550266" w14:paraId="4D872B13" w14:textId="77777777" w:rsidTr="001F039E">
        <w:trPr>
          <w:gridAfter w:val="1"/>
          <w:wAfter w:w="163" w:type="dxa"/>
        </w:trPr>
        <w:tc>
          <w:tcPr>
            <w:tcW w:w="912" w:type="dxa"/>
            <w:vAlign w:val="center"/>
          </w:tcPr>
          <w:p w14:paraId="797ED2FD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767" w:type="dxa"/>
          </w:tcPr>
          <w:p w14:paraId="11713743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</w:p>
        </w:tc>
        <w:tc>
          <w:tcPr>
            <w:tcW w:w="1444" w:type="dxa"/>
          </w:tcPr>
          <w:p w14:paraId="3F61C8DA" w14:textId="77777777" w:rsidR="00C230B4" w:rsidRPr="00550266" w:rsidRDefault="00C230B4" w:rsidP="003076ED">
            <w:pPr>
              <w:spacing w:line="480" w:lineRule="auto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Sensitivity = 100</w:t>
            </w: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br/>
              <w:t>Specificity = 7</w:t>
            </w:r>
          </w:p>
        </w:tc>
        <w:tc>
          <w:tcPr>
            <w:tcW w:w="5546" w:type="dxa"/>
            <w:gridSpan w:val="5"/>
          </w:tcPr>
          <w:p w14:paraId="25631FED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Positive predicted value = 76</w:t>
            </w:r>
          </w:p>
          <w:p w14:paraId="66CC7A92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  <w:r w:rsidRPr="00550266"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  <w:t>Negative predicted value = 100</w:t>
            </w:r>
          </w:p>
        </w:tc>
      </w:tr>
      <w:tr w:rsidR="001F039E" w:rsidRPr="00550266" w14:paraId="449BDF4F" w14:textId="77777777" w:rsidTr="001F039E">
        <w:tc>
          <w:tcPr>
            <w:tcW w:w="912" w:type="dxa"/>
            <w:vAlign w:val="center"/>
          </w:tcPr>
          <w:p w14:paraId="558C514A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767" w:type="dxa"/>
          </w:tcPr>
          <w:p w14:paraId="0317787A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</w:p>
        </w:tc>
        <w:tc>
          <w:tcPr>
            <w:tcW w:w="1444" w:type="dxa"/>
          </w:tcPr>
          <w:p w14:paraId="367585B6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</w:p>
        </w:tc>
        <w:tc>
          <w:tcPr>
            <w:tcW w:w="1744" w:type="dxa"/>
          </w:tcPr>
          <w:p w14:paraId="55976319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</w:p>
        </w:tc>
        <w:tc>
          <w:tcPr>
            <w:tcW w:w="1553" w:type="dxa"/>
          </w:tcPr>
          <w:p w14:paraId="2BC1879B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hAnsiTheme="minorHAnsi" w:cs="AdvTT5235d5a9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gridSpan w:val="4"/>
          </w:tcPr>
          <w:p w14:paraId="3A7C10C3" w14:textId="77777777" w:rsidR="00C230B4" w:rsidRPr="00550266" w:rsidRDefault="00C230B4" w:rsidP="003076ED">
            <w:pPr>
              <w:spacing w:line="480" w:lineRule="auto"/>
              <w:jc w:val="both"/>
              <w:rPr>
                <w:rFonts w:asciiTheme="minorHAnsi" w:eastAsiaTheme="minorHAnsi" w:hAnsiTheme="minorHAnsi" w:cs="AdvTT5235d5a9"/>
                <w:sz w:val="16"/>
                <w:szCs w:val="16"/>
                <w:lang w:val="en-US" w:eastAsia="en-US"/>
              </w:rPr>
            </w:pPr>
          </w:p>
        </w:tc>
      </w:tr>
    </w:tbl>
    <w:p w14:paraId="2AD2A4B4" w14:textId="77777777" w:rsidR="00C230B4" w:rsidRPr="00550266" w:rsidRDefault="00C230B4" w:rsidP="00C230B4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AdvTT5235d5a9"/>
          <w:sz w:val="18"/>
          <w:szCs w:val="16"/>
          <w:lang w:val="en-US"/>
        </w:rPr>
      </w:pPr>
      <w:r w:rsidRPr="00550266">
        <w:rPr>
          <w:rFonts w:asciiTheme="minorHAnsi" w:hAnsiTheme="minorHAnsi"/>
          <w:sz w:val="18"/>
          <w:lang w:val="en-US"/>
        </w:rPr>
        <w:t xml:space="preserve">Data are number of patients (n), correct number of diagnoses (%), and number or percentages of ambiguous cases [n or %]. </w:t>
      </w:r>
      <w:r w:rsidRPr="00550266">
        <w:rPr>
          <w:rFonts w:asciiTheme="minorHAnsi" w:hAnsiTheme="minorHAnsi" w:cs="AdvTT5235d5a9"/>
          <w:sz w:val="18"/>
          <w:szCs w:val="16"/>
          <w:lang w:val="en-US"/>
        </w:rPr>
        <w:t xml:space="preserve">Sensitivity, specificity, and positive/negative predicted values were calculated and were reported (%). By calculating the sensitivity, specificity, and positive/negative predicted values for clinical diagnosis the non-AD patient with AD co-pathology were not included. </w:t>
      </w:r>
    </w:p>
    <w:p w14:paraId="6E056069" w14:textId="263D795F" w:rsidR="00C230B4" w:rsidRPr="001F039E" w:rsidRDefault="00C230B4" w:rsidP="00C230B4">
      <w:pPr>
        <w:spacing w:line="480" w:lineRule="auto"/>
        <w:jc w:val="both"/>
        <w:rPr>
          <w:rFonts w:asciiTheme="minorHAnsi" w:hAnsiTheme="minorHAnsi"/>
          <w:sz w:val="18"/>
          <w:szCs w:val="18"/>
          <w:lang w:val="en-US"/>
        </w:rPr>
      </w:pPr>
      <w:r w:rsidRPr="001F039E">
        <w:rPr>
          <w:rFonts w:asciiTheme="minorHAnsi" w:hAnsiTheme="minorHAnsi"/>
          <w:sz w:val="18"/>
          <w:lang w:val="en-US"/>
        </w:rPr>
        <w:t>AD</w:t>
      </w:r>
      <w:r w:rsidR="001F039E" w:rsidRPr="001F039E">
        <w:rPr>
          <w:rFonts w:asciiTheme="minorHAnsi" w:hAnsiTheme="minorHAnsi"/>
          <w:sz w:val="18"/>
          <w:lang w:val="en-US"/>
        </w:rPr>
        <w:t>,</w:t>
      </w:r>
      <w:r w:rsidRPr="001F039E">
        <w:rPr>
          <w:rFonts w:asciiTheme="minorHAnsi" w:hAnsiTheme="minorHAnsi"/>
          <w:sz w:val="18"/>
          <w:lang w:val="en-US"/>
        </w:rPr>
        <w:t xml:space="preserve"> Alzheimer’s disease; </w:t>
      </w:r>
      <w:r w:rsidRPr="001F039E">
        <w:rPr>
          <w:rFonts w:asciiTheme="minorHAnsi" w:hAnsiTheme="minorHAnsi"/>
          <w:sz w:val="18"/>
          <w:szCs w:val="18"/>
          <w:lang w:val="en-US"/>
        </w:rPr>
        <w:t>CSF</w:t>
      </w:r>
      <w:r w:rsidR="001F039E" w:rsidRPr="001F039E">
        <w:rPr>
          <w:rFonts w:asciiTheme="minorHAnsi" w:hAnsiTheme="minorHAnsi"/>
          <w:sz w:val="18"/>
          <w:szCs w:val="18"/>
          <w:lang w:val="en-US"/>
        </w:rPr>
        <w:t>,</w:t>
      </w:r>
      <w:r w:rsidRPr="001F039E">
        <w:rPr>
          <w:rFonts w:asciiTheme="minorHAnsi" w:hAnsiTheme="minorHAnsi"/>
          <w:sz w:val="18"/>
          <w:szCs w:val="18"/>
          <w:lang w:val="en-US"/>
        </w:rPr>
        <w:t xml:space="preserve"> cerebrospinal fluid</w:t>
      </w:r>
      <w:r w:rsidRPr="001F039E">
        <w:rPr>
          <w:rFonts w:asciiTheme="minorHAnsi" w:hAnsiTheme="minorHAnsi"/>
          <w:sz w:val="18"/>
          <w:lang w:val="en-US"/>
        </w:rPr>
        <w:t xml:space="preserve">; </w:t>
      </w:r>
      <w:r w:rsidRPr="001F039E">
        <w:rPr>
          <w:rFonts w:asciiTheme="minorHAnsi" w:hAnsiTheme="minorHAnsi"/>
          <w:sz w:val="18"/>
          <w:szCs w:val="18"/>
          <w:lang w:val="en-US"/>
        </w:rPr>
        <w:t>IWG-2</w:t>
      </w:r>
      <w:r w:rsidR="001F039E" w:rsidRPr="001F039E">
        <w:rPr>
          <w:rFonts w:asciiTheme="minorHAnsi" w:hAnsiTheme="minorHAnsi"/>
          <w:sz w:val="18"/>
          <w:szCs w:val="18"/>
          <w:lang w:val="en-US"/>
        </w:rPr>
        <w:t>,</w:t>
      </w:r>
      <w:r w:rsidRPr="001F039E">
        <w:rPr>
          <w:rFonts w:asciiTheme="minorHAnsi" w:hAnsiTheme="minorHAnsi"/>
          <w:sz w:val="18"/>
          <w:szCs w:val="18"/>
          <w:lang w:val="en-US"/>
        </w:rPr>
        <w:t xml:space="preserve"> </w:t>
      </w:r>
      <w:r w:rsidR="001F039E" w:rsidRPr="001F039E">
        <w:rPr>
          <w:rFonts w:asciiTheme="minorHAnsi" w:hAnsiTheme="minorHAnsi"/>
          <w:sz w:val="18"/>
          <w:szCs w:val="18"/>
          <w:lang w:val="en-US"/>
        </w:rPr>
        <w:t>International Working Group</w:t>
      </w:r>
      <w:r w:rsidRPr="001F039E">
        <w:rPr>
          <w:rFonts w:asciiTheme="minorHAnsi" w:hAnsiTheme="minorHAnsi"/>
          <w:sz w:val="18"/>
          <w:lang w:val="en-US"/>
        </w:rPr>
        <w:t>; NA</w:t>
      </w:r>
      <w:r w:rsidR="001F039E" w:rsidRPr="001F039E">
        <w:rPr>
          <w:rFonts w:asciiTheme="minorHAnsi" w:hAnsiTheme="minorHAnsi"/>
          <w:sz w:val="18"/>
          <w:lang w:val="en-US"/>
        </w:rPr>
        <w:t>,</w:t>
      </w:r>
      <w:r w:rsidRPr="001F039E">
        <w:rPr>
          <w:rFonts w:asciiTheme="minorHAnsi" w:hAnsiTheme="minorHAnsi"/>
          <w:sz w:val="18"/>
          <w:lang w:val="en-US"/>
        </w:rPr>
        <w:t xml:space="preserve"> not applicable; </w:t>
      </w:r>
      <w:r w:rsidRPr="001F039E">
        <w:rPr>
          <w:rFonts w:asciiTheme="minorHAnsi" w:hAnsiTheme="minorHAnsi"/>
          <w:sz w:val="18"/>
          <w:szCs w:val="18"/>
          <w:lang w:val="en-US"/>
        </w:rPr>
        <w:t>NIA-AA</w:t>
      </w:r>
      <w:r w:rsidR="001F039E" w:rsidRPr="001F039E">
        <w:rPr>
          <w:rFonts w:asciiTheme="minorHAnsi" w:hAnsiTheme="minorHAnsi"/>
          <w:sz w:val="18"/>
          <w:szCs w:val="18"/>
          <w:lang w:val="en-US"/>
        </w:rPr>
        <w:t>,</w:t>
      </w:r>
      <w:r w:rsidRPr="001F039E">
        <w:rPr>
          <w:rFonts w:asciiTheme="minorHAnsi" w:hAnsiTheme="minorHAnsi"/>
          <w:sz w:val="18"/>
          <w:szCs w:val="18"/>
          <w:lang w:val="en-US"/>
        </w:rPr>
        <w:t xml:space="preserve"> </w:t>
      </w:r>
      <w:r w:rsidR="001F039E" w:rsidRPr="001F039E">
        <w:rPr>
          <w:rFonts w:asciiTheme="minorHAnsi" w:hAnsiTheme="minorHAnsi"/>
          <w:sz w:val="18"/>
          <w:szCs w:val="18"/>
          <w:lang w:val="en-US"/>
        </w:rPr>
        <w:t xml:space="preserve">National Institute on Aging </w:t>
      </w:r>
      <w:r w:rsidRPr="001F039E">
        <w:rPr>
          <w:rFonts w:asciiTheme="minorHAnsi" w:hAnsiTheme="minorHAnsi"/>
          <w:sz w:val="18"/>
          <w:szCs w:val="18"/>
          <w:lang w:val="en-US"/>
        </w:rPr>
        <w:t xml:space="preserve">/ Alzheimer’s </w:t>
      </w:r>
      <w:r w:rsidR="001F039E" w:rsidRPr="001F039E">
        <w:rPr>
          <w:rFonts w:asciiTheme="minorHAnsi" w:hAnsiTheme="minorHAnsi"/>
          <w:sz w:val="18"/>
          <w:szCs w:val="18"/>
          <w:lang w:val="en-US"/>
        </w:rPr>
        <w:t>A</w:t>
      </w:r>
      <w:r w:rsidRPr="001F039E">
        <w:rPr>
          <w:rFonts w:asciiTheme="minorHAnsi" w:hAnsiTheme="minorHAnsi"/>
          <w:sz w:val="18"/>
          <w:szCs w:val="18"/>
          <w:lang w:val="en-US"/>
        </w:rPr>
        <w:t>ssociation</w:t>
      </w:r>
      <w:r w:rsidRPr="001F039E">
        <w:rPr>
          <w:rFonts w:asciiTheme="minorHAnsi" w:hAnsiTheme="minorHAnsi"/>
          <w:sz w:val="18"/>
          <w:lang w:val="en-US"/>
        </w:rPr>
        <w:t>; non-AD</w:t>
      </w:r>
      <w:r w:rsidR="001F039E" w:rsidRPr="001F039E">
        <w:rPr>
          <w:rFonts w:asciiTheme="minorHAnsi" w:hAnsiTheme="minorHAnsi"/>
          <w:sz w:val="18"/>
          <w:lang w:val="en-US"/>
        </w:rPr>
        <w:t>,</w:t>
      </w:r>
      <w:r w:rsidRPr="001F039E">
        <w:rPr>
          <w:rFonts w:asciiTheme="minorHAnsi" w:hAnsiTheme="minorHAnsi"/>
          <w:sz w:val="18"/>
          <w:lang w:val="en-US"/>
        </w:rPr>
        <w:t xml:space="preserve"> other type of dementia (than Alzheimer’s disease)</w:t>
      </w:r>
      <w:r w:rsidRPr="001F039E">
        <w:rPr>
          <w:rFonts w:asciiTheme="minorHAnsi" w:hAnsiTheme="minorHAnsi"/>
          <w:sz w:val="18"/>
          <w:szCs w:val="18"/>
          <w:lang w:val="en-US"/>
        </w:rPr>
        <w:t xml:space="preserve">. </w:t>
      </w:r>
    </w:p>
    <w:p w14:paraId="5F507FDF" w14:textId="77777777" w:rsidR="00C230B4" w:rsidRPr="008F5448" w:rsidRDefault="00C230B4" w:rsidP="00C230B4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/>
          <w:sz w:val="18"/>
          <w:szCs w:val="22"/>
          <w:lang w:val="en-US"/>
        </w:rPr>
      </w:pPr>
    </w:p>
    <w:p w14:paraId="2E468539" w14:textId="77777777" w:rsidR="00C230B4" w:rsidRPr="00315E2E" w:rsidRDefault="00C230B4" w:rsidP="00315E2E">
      <w:pPr>
        <w:spacing w:line="480" w:lineRule="auto"/>
        <w:jc w:val="both"/>
        <w:rPr>
          <w:rFonts w:asciiTheme="minorHAnsi" w:hAnsiTheme="minorHAnsi"/>
          <w:sz w:val="18"/>
          <w:lang w:val="en-US"/>
        </w:rPr>
      </w:pPr>
    </w:p>
    <w:p w14:paraId="6271B52B" w14:textId="77777777" w:rsidR="006B7207" w:rsidRPr="00315E2E" w:rsidRDefault="006B7207" w:rsidP="00315E2E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/>
          <w:sz w:val="20"/>
          <w:szCs w:val="20"/>
          <w:lang w:val="en-US"/>
        </w:rPr>
      </w:pPr>
    </w:p>
    <w:p w14:paraId="3F402E2E" w14:textId="1F65F300" w:rsidR="009B251C" w:rsidRPr="00315E2E" w:rsidRDefault="009B251C" w:rsidP="00315E2E">
      <w:pPr>
        <w:autoSpaceDE w:val="0"/>
        <w:autoSpaceDN w:val="0"/>
        <w:adjustRightInd w:val="0"/>
        <w:spacing w:line="480" w:lineRule="auto"/>
        <w:jc w:val="both"/>
        <w:rPr>
          <w:rFonts w:asciiTheme="minorHAnsi" w:eastAsiaTheme="minorHAnsi" w:hAnsiTheme="minorHAnsi"/>
          <w:sz w:val="20"/>
          <w:szCs w:val="16"/>
          <w:lang w:val="en-US" w:eastAsia="en-US"/>
        </w:rPr>
      </w:pPr>
    </w:p>
    <w:p w14:paraId="1C386258" w14:textId="48F8A540" w:rsidR="001F0DEF" w:rsidRPr="00315E2E" w:rsidRDefault="001F0DEF" w:rsidP="00315E2E">
      <w:pPr>
        <w:spacing w:after="200" w:line="480" w:lineRule="auto"/>
        <w:rPr>
          <w:rFonts w:asciiTheme="minorHAnsi" w:eastAsiaTheme="minorHAnsi" w:hAnsiTheme="minorHAnsi"/>
          <w:sz w:val="20"/>
          <w:szCs w:val="16"/>
          <w:lang w:val="en-US" w:eastAsia="en-US"/>
        </w:rPr>
      </w:pPr>
      <w:bookmarkStart w:id="0" w:name="_GoBack"/>
      <w:bookmarkEnd w:id="0"/>
    </w:p>
    <w:sectPr w:rsidR="001F0DEF" w:rsidRPr="00315E2E" w:rsidSect="00C230B4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3905E" w14:textId="77777777" w:rsidR="001301CE" w:rsidRDefault="001301CE" w:rsidP="00E461AE">
      <w:r>
        <w:separator/>
      </w:r>
    </w:p>
  </w:endnote>
  <w:endnote w:type="continuationSeparator" w:id="0">
    <w:p w14:paraId="7B522583" w14:textId="77777777" w:rsidR="001301CE" w:rsidRDefault="001301CE" w:rsidP="00E4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TT5235d5a9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712338"/>
      <w:docPartObj>
        <w:docPartGallery w:val="Page Numbers (Bottom of Page)"/>
        <w:docPartUnique/>
      </w:docPartObj>
    </w:sdtPr>
    <w:sdtEndPr/>
    <w:sdtContent>
      <w:p w14:paraId="67A48547" w14:textId="77777777" w:rsidR="00315A30" w:rsidRDefault="00315A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6FC">
          <w:rPr>
            <w:noProof/>
          </w:rPr>
          <w:t>1</w:t>
        </w:r>
        <w:r>
          <w:fldChar w:fldCharType="end"/>
        </w:r>
      </w:p>
    </w:sdtContent>
  </w:sdt>
  <w:p w14:paraId="2D99E051" w14:textId="77777777" w:rsidR="00315A30" w:rsidRDefault="00315A30" w:rsidP="007C493B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330242"/>
      <w:docPartObj>
        <w:docPartGallery w:val="Page Numbers (Bottom of Page)"/>
        <w:docPartUnique/>
      </w:docPartObj>
    </w:sdtPr>
    <w:sdtEndPr/>
    <w:sdtContent>
      <w:p w14:paraId="2EED0244" w14:textId="77777777" w:rsidR="00315A30" w:rsidRDefault="00315A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6FC">
          <w:rPr>
            <w:noProof/>
          </w:rPr>
          <w:t>3</w:t>
        </w:r>
        <w:r>
          <w:fldChar w:fldCharType="end"/>
        </w:r>
      </w:p>
    </w:sdtContent>
  </w:sdt>
  <w:p w14:paraId="557CC49E" w14:textId="77777777" w:rsidR="00315A30" w:rsidRDefault="00315A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8ED51" w14:textId="77777777" w:rsidR="001301CE" w:rsidRDefault="001301CE" w:rsidP="00E461AE">
      <w:r>
        <w:separator/>
      </w:r>
    </w:p>
  </w:footnote>
  <w:footnote w:type="continuationSeparator" w:id="0">
    <w:p w14:paraId="72945456" w14:textId="77777777" w:rsidR="001301CE" w:rsidRDefault="001301CE" w:rsidP="00E46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029"/>
    <w:multiLevelType w:val="hybridMultilevel"/>
    <w:tmpl w:val="BAC6F6B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726D90"/>
    <w:multiLevelType w:val="hybridMultilevel"/>
    <w:tmpl w:val="3F425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975CC"/>
    <w:multiLevelType w:val="hybridMultilevel"/>
    <w:tmpl w:val="D2300D3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1213C"/>
    <w:multiLevelType w:val="hybridMultilevel"/>
    <w:tmpl w:val="B57C01A8"/>
    <w:lvl w:ilvl="0" w:tplc="9510F5F0">
      <w:start w:val="1"/>
      <w:numFmt w:val="lowerLetter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7869A5"/>
    <w:multiLevelType w:val="hybridMultilevel"/>
    <w:tmpl w:val="CBA4E52A"/>
    <w:lvl w:ilvl="0" w:tplc="F2AE7D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96D14"/>
    <w:multiLevelType w:val="hybridMultilevel"/>
    <w:tmpl w:val="BAC6F6B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8328A0"/>
    <w:multiLevelType w:val="hybridMultilevel"/>
    <w:tmpl w:val="8CD448C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22BBF"/>
    <w:multiLevelType w:val="multilevel"/>
    <w:tmpl w:val="F654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Alzheimer&amp;apos;s Diseas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zsdwedrtl0svx1exde55p5w825rft0stx5da&quot;&gt;REMEMBER&lt;record-ids&gt;&lt;item&gt;17&lt;/item&gt;&lt;item&gt;19&lt;/item&gt;&lt;item&gt;70&lt;/item&gt;&lt;/record-ids&gt;&lt;/item&gt;&lt;/Libraries&gt;"/>
  </w:docVars>
  <w:rsids>
    <w:rsidRoot w:val="00C73EDE"/>
    <w:rsid w:val="000007BA"/>
    <w:rsid w:val="00000EE7"/>
    <w:rsid w:val="00003DD6"/>
    <w:rsid w:val="00004017"/>
    <w:rsid w:val="00004DE3"/>
    <w:rsid w:val="00014993"/>
    <w:rsid w:val="00025458"/>
    <w:rsid w:val="00027C4A"/>
    <w:rsid w:val="000302E2"/>
    <w:rsid w:val="0003164B"/>
    <w:rsid w:val="000401A6"/>
    <w:rsid w:val="00044588"/>
    <w:rsid w:val="00054C40"/>
    <w:rsid w:val="000636FC"/>
    <w:rsid w:val="00063702"/>
    <w:rsid w:val="000670C1"/>
    <w:rsid w:val="000674DA"/>
    <w:rsid w:val="0007102D"/>
    <w:rsid w:val="00073A12"/>
    <w:rsid w:val="000830C4"/>
    <w:rsid w:val="00091527"/>
    <w:rsid w:val="00093C0D"/>
    <w:rsid w:val="000A0D08"/>
    <w:rsid w:val="000A4489"/>
    <w:rsid w:val="000A7822"/>
    <w:rsid w:val="000B1D99"/>
    <w:rsid w:val="000C0321"/>
    <w:rsid w:val="000C2CDC"/>
    <w:rsid w:val="000C2E59"/>
    <w:rsid w:val="000C5F5A"/>
    <w:rsid w:val="000C73D2"/>
    <w:rsid w:val="000D1A1D"/>
    <w:rsid w:val="000D2154"/>
    <w:rsid w:val="000E195F"/>
    <w:rsid w:val="000E573E"/>
    <w:rsid w:val="0010098C"/>
    <w:rsid w:val="00103587"/>
    <w:rsid w:val="00110367"/>
    <w:rsid w:val="00111025"/>
    <w:rsid w:val="0011376C"/>
    <w:rsid w:val="00120821"/>
    <w:rsid w:val="00122FD3"/>
    <w:rsid w:val="00123037"/>
    <w:rsid w:val="001245E8"/>
    <w:rsid w:val="0012654C"/>
    <w:rsid w:val="001301CE"/>
    <w:rsid w:val="00132961"/>
    <w:rsid w:val="00137426"/>
    <w:rsid w:val="00141DD7"/>
    <w:rsid w:val="00144B3A"/>
    <w:rsid w:val="00145AD1"/>
    <w:rsid w:val="00147715"/>
    <w:rsid w:val="00150F54"/>
    <w:rsid w:val="0015769D"/>
    <w:rsid w:val="001602AC"/>
    <w:rsid w:val="001653A7"/>
    <w:rsid w:val="001675A9"/>
    <w:rsid w:val="001677E3"/>
    <w:rsid w:val="00170553"/>
    <w:rsid w:val="00172985"/>
    <w:rsid w:val="00172B9E"/>
    <w:rsid w:val="001916DC"/>
    <w:rsid w:val="00192CBC"/>
    <w:rsid w:val="001943ED"/>
    <w:rsid w:val="00194A6B"/>
    <w:rsid w:val="00195CA8"/>
    <w:rsid w:val="00195EA2"/>
    <w:rsid w:val="001A431D"/>
    <w:rsid w:val="001A594F"/>
    <w:rsid w:val="001C074B"/>
    <w:rsid w:val="001C713A"/>
    <w:rsid w:val="001D5BBC"/>
    <w:rsid w:val="001E5D14"/>
    <w:rsid w:val="001E71E1"/>
    <w:rsid w:val="001F039E"/>
    <w:rsid w:val="001F0DEF"/>
    <w:rsid w:val="001F158E"/>
    <w:rsid w:val="001F3523"/>
    <w:rsid w:val="001F4C14"/>
    <w:rsid w:val="0020073A"/>
    <w:rsid w:val="00206538"/>
    <w:rsid w:val="00216714"/>
    <w:rsid w:val="00223B26"/>
    <w:rsid w:val="00225BAD"/>
    <w:rsid w:val="00233CFC"/>
    <w:rsid w:val="00234441"/>
    <w:rsid w:val="002355D1"/>
    <w:rsid w:val="00235F1B"/>
    <w:rsid w:val="00236A01"/>
    <w:rsid w:val="0024319D"/>
    <w:rsid w:val="00244410"/>
    <w:rsid w:val="00257E6A"/>
    <w:rsid w:val="00260291"/>
    <w:rsid w:val="002607BC"/>
    <w:rsid w:val="00263826"/>
    <w:rsid w:val="0027482E"/>
    <w:rsid w:val="00291F8A"/>
    <w:rsid w:val="00292A20"/>
    <w:rsid w:val="00292BB7"/>
    <w:rsid w:val="002974FE"/>
    <w:rsid w:val="002A24C0"/>
    <w:rsid w:val="002A3FEF"/>
    <w:rsid w:val="002A4DE2"/>
    <w:rsid w:val="002A65CE"/>
    <w:rsid w:val="002B4213"/>
    <w:rsid w:val="002B592B"/>
    <w:rsid w:val="002B6715"/>
    <w:rsid w:val="002C7286"/>
    <w:rsid w:val="002D2230"/>
    <w:rsid w:val="002D30B5"/>
    <w:rsid w:val="002E2D09"/>
    <w:rsid w:val="002E2F8E"/>
    <w:rsid w:val="002E3301"/>
    <w:rsid w:val="002E7CA0"/>
    <w:rsid w:val="002F0E0D"/>
    <w:rsid w:val="002F1007"/>
    <w:rsid w:val="002F12A8"/>
    <w:rsid w:val="002F3590"/>
    <w:rsid w:val="002F74B0"/>
    <w:rsid w:val="00302AB0"/>
    <w:rsid w:val="00304752"/>
    <w:rsid w:val="0030603E"/>
    <w:rsid w:val="003076ED"/>
    <w:rsid w:val="0031183B"/>
    <w:rsid w:val="00313522"/>
    <w:rsid w:val="00313988"/>
    <w:rsid w:val="00315A30"/>
    <w:rsid w:val="00315E2E"/>
    <w:rsid w:val="0032062C"/>
    <w:rsid w:val="003212CF"/>
    <w:rsid w:val="003235D3"/>
    <w:rsid w:val="00325038"/>
    <w:rsid w:val="00325652"/>
    <w:rsid w:val="003361EE"/>
    <w:rsid w:val="00337A8F"/>
    <w:rsid w:val="0034136A"/>
    <w:rsid w:val="00346EA8"/>
    <w:rsid w:val="003528A4"/>
    <w:rsid w:val="00363466"/>
    <w:rsid w:val="00367939"/>
    <w:rsid w:val="0037022A"/>
    <w:rsid w:val="00371617"/>
    <w:rsid w:val="00371693"/>
    <w:rsid w:val="00380D59"/>
    <w:rsid w:val="003851C4"/>
    <w:rsid w:val="00385206"/>
    <w:rsid w:val="00387466"/>
    <w:rsid w:val="00391FB6"/>
    <w:rsid w:val="00393B01"/>
    <w:rsid w:val="00393ED9"/>
    <w:rsid w:val="00394476"/>
    <w:rsid w:val="0039765C"/>
    <w:rsid w:val="003A247A"/>
    <w:rsid w:val="003A3948"/>
    <w:rsid w:val="003A3BA2"/>
    <w:rsid w:val="003A4263"/>
    <w:rsid w:val="003A5D14"/>
    <w:rsid w:val="003A75E6"/>
    <w:rsid w:val="003B21E0"/>
    <w:rsid w:val="003B6BD0"/>
    <w:rsid w:val="003C50E8"/>
    <w:rsid w:val="003E0194"/>
    <w:rsid w:val="003E120D"/>
    <w:rsid w:val="003E6477"/>
    <w:rsid w:val="003E7D69"/>
    <w:rsid w:val="003F2E8E"/>
    <w:rsid w:val="003F3DCD"/>
    <w:rsid w:val="003F6991"/>
    <w:rsid w:val="003F776D"/>
    <w:rsid w:val="00400726"/>
    <w:rsid w:val="00401D7B"/>
    <w:rsid w:val="00402320"/>
    <w:rsid w:val="0040590B"/>
    <w:rsid w:val="00412780"/>
    <w:rsid w:val="00416B54"/>
    <w:rsid w:val="00420A01"/>
    <w:rsid w:val="00420AB2"/>
    <w:rsid w:val="00422464"/>
    <w:rsid w:val="00424630"/>
    <w:rsid w:val="00426090"/>
    <w:rsid w:val="00426BD2"/>
    <w:rsid w:val="004540A8"/>
    <w:rsid w:val="00457687"/>
    <w:rsid w:val="004666AE"/>
    <w:rsid w:val="00470007"/>
    <w:rsid w:val="004717A9"/>
    <w:rsid w:val="00476944"/>
    <w:rsid w:val="00480FDA"/>
    <w:rsid w:val="00487F02"/>
    <w:rsid w:val="004A39C8"/>
    <w:rsid w:val="004A3E11"/>
    <w:rsid w:val="004A4F07"/>
    <w:rsid w:val="004B6E38"/>
    <w:rsid w:val="004C0F31"/>
    <w:rsid w:val="004D088D"/>
    <w:rsid w:val="004D7B4B"/>
    <w:rsid w:val="004D7FA3"/>
    <w:rsid w:val="004E5393"/>
    <w:rsid w:val="004F28E0"/>
    <w:rsid w:val="004F53E2"/>
    <w:rsid w:val="004F72A8"/>
    <w:rsid w:val="004F7A03"/>
    <w:rsid w:val="00507226"/>
    <w:rsid w:val="005103B0"/>
    <w:rsid w:val="00517508"/>
    <w:rsid w:val="00530D11"/>
    <w:rsid w:val="00532448"/>
    <w:rsid w:val="00546825"/>
    <w:rsid w:val="00550266"/>
    <w:rsid w:val="005555AA"/>
    <w:rsid w:val="00560F6B"/>
    <w:rsid w:val="00570094"/>
    <w:rsid w:val="00576C95"/>
    <w:rsid w:val="00577134"/>
    <w:rsid w:val="005774E3"/>
    <w:rsid w:val="00586B25"/>
    <w:rsid w:val="00587973"/>
    <w:rsid w:val="0059088C"/>
    <w:rsid w:val="00592691"/>
    <w:rsid w:val="00593574"/>
    <w:rsid w:val="00594967"/>
    <w:rsid w:val="005968D3"/>
    <w:rsid w:val="005969B0"/>
    <w:rsid w:val="005A337E"/>
    <w:rsid w:val="005A4E43"/>
    <w:rsid w:val="005B32C4"/>
    <w:rsid w:val="005C06BD"/>
    <w:rsid w:val="005C7DAE"/>
    <w:rsid w:val="005D32B0"/>
    <w:rsid w:val="005D3DCF"/>
    <w:rsid w:val="005D4DA0"/>
    <w:rsid w:val="005D5972"/>
    <w:rsid w:val="005D6D62"/>
    <w:rsid w:val="005D701C"/>
    <w:rsid w:val="005F0922"/>
    <w:rsid w:val="005F3343"/>
    <w:rsid w:val="005F3411"/>
    <w:rsid w:val="005F3AD7"/>
    <w:rsid w:val="005F3E35"/>
    <w:rsid w:val="005F44DD"/>
    <w:rsid w:val="005F536D"/>
    <w:rsid w:val="005F7EAF"/>
    <w:rsid w:val="00600185"/>
    <w:rsid w:val="00600CE0"/>
    <w:rsid w:val="00600F7D"/>
    <w:rsid w:val="00601DF5"/>
    <w:rsid w:val="00603556"/>
    <w:rsid w:val="00604C69"/>
    <w:rsid w:val="00615C55"/>
    <w:rsid w:val="006237D2"/>
    <w:rsid w:val="006259C8"/>
    <w:rsid w:val="006303E7"/>
    <w:rsid w:val="00632967"/>
    <w:rsid w:val="00635FEA"/>
    <w:rsid w:val="00641E19"/>
    <w:rsid w:val="006422AA"/>
    <w:rsid w:val="00642904"/>
    <w:rsid w:val="00643CCD"/>
    <w:rsid w:val="00644364"/>
    <w:rsid w:val="006464E9"/>
    <w:rsid w:val="00646938"/>
    <w:rsid w:val="00646AE6"/>
    <w:rsid w:val="00652382"/>
    <w:rsid w:val="00663B17"/>
    <w:rsid w:val="00664D61"/>
    <w:rsid w:val="00666536"/>
    <w:rsid w:val="00671B91"/>
    <w:rsid w:val="00671EEE"/>
    <w:rsid w:val="006727E9"/>
    <w:rsid w:val="006734AC"/>
    <w:rsid w:val="00675FBF"/>
    <w:rsid w:val="00682AB4"/>
    <w:rsid w:val="00683BF2"/>
    <w:rsid w:val="0068460C"/>
    <w:rsid w:val="00686BDF"/>
    <w:rsid w:val="00690116"/>
    <w:rsid w:val="00692294"/>
    <w:rsid w:val="00693B20"/>
    <w:rsid w:val="00694B66"/>
    <w:rsid w:val="00694F70"/>
    <w:rsid w:val="00696B4B"/>
    <w:rsid w:val="00697931"/>
    <w:rsid w:val="006A095F"/>
    <w:rsid w:val="006A2BBF"/>
    <w:rsid w:val="006A4CDB"/>
    <w:rsid w:val="006A7392"/>
    <w:rsid w:val="006B56C4"/>
    <w:rsid w:val="006B7207"/>
    <w:rsid w:val="006B7625"/>
    <w:rsid w:val="006C47EC"/>
    <w:rsid w:val="006C6C1E"/>
    <w:rsid w:val="006C700E"/>
    <w:rsid w:val="006D2A63"/>
    <w:rsid w:val="006D3708"/>
    <w:rsid w:val="006D5093"/>
    <w:rsid w:val="006E0C59"/>
    <w:rsid w:val="006E209C"/>
    <w:rsid w:val="006E553B"/>
    <w:rsid w:val="006E6602"/>
    <w:rsid w:val="006E675F"/>
    <w:rsid w:val="006E6DEF"/>
    <w:rsid w:val="006E7A40"/>
    <w:rsid w:val="006F46DA"/>
    <w:rsid w:val="006F5AD1"/>
    <w:rsid w:val="00702985"/>
    <w:rsid w:val="0070302D"/>
    <w:rsid w:val="007061A4"/>
    <w:rsid w:val="00706EFF"/>
    <w:rsid w:val="00711975"/>
    <w:rsid w:val="00713108"/>
    <w:rsid w:val="00717695"/>
    <w:rsid w:val="00723B61"/>
    <w:rsid w:val="00724597"/>
    <w:rsid w:val="00724F0F"/>
    <w:rsid w:val="00727BEC"/>
    <w:rsid w:val="00730B12"/>
    <w:rsid w:val="00732AEA"/>
    <w:rsid w:val="0073468C"/>
    <w:rsid w:val="00734E98"/>
    <w:rsid w:val="00735895"/>
    <w:rsid w:val="007377EC"/>
    <w:rsid w:val="00743C9F"/>
    <w:rsid w:val="00744C6F"/>
    <w:rsid w:val="007463B7"/>
    <w:rsid w:val="007508A0"/>
    <w:rsid w:val="00753869"/>
    <w:rsid w:val="00757B81"/>
    <w:rsid w:val="00761653"/>
    <w:rsid w:val="00761E12"/>
    <w:rsid w:val="0076337A"/>
    <w:rsid w:val="00763500"/>
    <w:rsid w:val="00772B0F"/>
    <w:rsid w:val="00773B19"/>
    <w:rsid w:val="007740F2"/>
    <w:rsid w:val="007763CE"/>
    <w:rsid w:val="007825DE"/>
    <w:rsid w:val="007835F2"/>
    <w:rsid w:val="00783899"/>
    <w:rsid w:val="0078491E"/>
    <w:rsid w:val="00787384"/>
    <w:rsid w:val="0079137B"/>
    <w:rsid w:val="00796508"/>
    <w:rsid w:val="007967E8"/>
    <w:rsid w:val="007A7FCE"/>
    <w:rsid w:val="007B4F6A"/>
    <w:rsid w:val="007B6C5F"/>
    <w:rsid w:val="007C30DA"/>
    <w:rsid w:val="007C3ECF"/>
    <w:rsid w:val="007C493B"/>
    <w:rsid w:val="007C618D"/>
    <w:rsid w:val="007D16AF"/>
    <w:rsid w:val="007D3A4C"/>
    <w:rsid w:val="007D42C0"/>
    <w:rsid w:val="007D56AF"/>
    <w:rsid w:val="007D78A5"/>
    <w:rsid w:val="007E0C2A"/>
    <w:rsid w:val="007E228E"/>
    <w:rsid w:val="007E4C97"/>
    <w:rsid w:val="007E61DA"/>
    <w:rsid w:val="007E78BF"/>
    <w:rsid w:val="007E791C"/>
    <w:rsid w:val="007E7933"/>
    <w:rsid w:val="0080109B"/>
    <w:rsid w:val="00810001"/>
    <w:rsid w:val="00811057"/>
    <w:rsid w:val="00811F9D"/>
    <w:rsid w:val="0082105F"/>
    <w:rsid w:val="00826B5E"/>
    <w:rsid w:val="00826DB0"/>
    <w:rsid w:val="0082736D"/>
    <w:rsid w:val="00830991"/>
    <w:rsid w:val="008332C5"/>
    <w:rsid w:val="00835B27"/>
    <w:rsid w:val="0083706F"/>
    <w:rsid w:val="00842E8C"/>
    <w:rsid w:val="00843AEF"/>
    <w:rsid w:val="00846977"/>
    <w:rsid w:val="0085096F"/>
    <w:rsid w:val="00857515"/>
    <w:rsid w:val="00860234"/>
    <w:rsid w:val="008633B8"/>
    <w:rsid w:val="008641C3"/>
    <w:rsid w:val="00866391"/>
    <w:rsid w:val="00866F02"/>
    <w:rsid w:val="00867225"/>
    <w:rsid w:val="0087160A"/>
    <w:rsid w:val="00873D2A"/>
    <w:rsid w:val="00873D6C"/>
    <w:rsid w:val="00875251"/>
    <w:rsid w:val="00877255"/>
    <w:rsid w:val="00880216"/>
    <w:rsid w:val="00882118"/>
    <w:rsid w:val="00882620"/>
    <w:rsid w:val="00886915"/>
    <w:rsid w:val="008A331E"/>
    <w:rsid w:val="008A417B"/>
    <w:rsid w:val="008B2F40"/>
    <w:rsid w:val="008B59DC"/>
    <w:rsid w:val="008B6882"/>
    <w:rsid w:val="008C2010"/>
    <w:rsid w:val="008C6D6C"/>
    <w:rsid w:val="008D2566"/>
    <w:rsid w:val="008D56B5"/>
    <w:rsid w:val="008D5724"/>
    <w:rsid w:val="008D7F16"/>
    <w:rsid w:val="008E0BCE"/>
    <w:rsid w:val="008E3D51"/>
    <w:rsid w:val="008E5726"/>
    <w:rsid w:val="008E719D"/>
    <w:rsid w:val="008E795F"/>
    <w:rsid w:val="008F1A81"/>
    <w:rsid w:val="008F2700"/>
    <w:rsid w:val="008F5D7E"/>
    <w:rsid w:val="00900714"/>
    <w:rsid w:val="009016E6"/>
    <w:rsid w:val="00912715"/>
    <w:rsid w:val="00912F3A"/>
    <w:rsid w:val="00915570"/>
    <w:rsid w:val="009157AE"/>
    <w:rsid w:val="009163F9"/>
    <w:rsid w:val="00917E43"/>
    <w:rsid w:val="0092287A"/>
    <w:rsid w:val="009247A1"/>
    <w:rsid w:val="00932502"/>
    <w:rsid w:val="00940A02"/>
    <w:rsid w:val="00943AA6"/>
    <w:rsid w:val="0094423F"/>
    <w:rsid w:val="0094651B"/>
    <w:rsid w:val="009511DF"/>
    <w:rsid w:val="00961B92"/>
    <w:rsid w:val="00977A37"/>
    <w:rsid w:val="00977F36"/>
    <w:rsid w:val="00981588"/>
    <w:rsid w:val="00982CBC"/>
    <w:rsid w:val="0098719C"/>
    <w:rsid w:val="009902BE"/>
    <w:rsid w:val="009959DD"/>
    <w:rsid w:val="009A0D27"/>
    <w:rsid w:val="009A0DE0"/>
    <w:rsid w:val="009A15A2"/>
    <w:rsid w:val="009A444A"/>
    <w:rsid w:val="009A4CF6"/>
    <w:rsid w:val="009A5967"/>
    <w:rsid w:val="009A7148"/>
    <w:rsid w:val="009B251C"/>
    <w:rsid w:val="009B3433"/>
    <w:rsid w:val="009B3452"/>
    <w:rsid w:val="009B6876"/>
    <w:rsid w:val="009B7BCA"/>
    <w:rsid w:val="009C3EA4"/>
    <w:rsid w:val="009C72A6"/>
    <w:rsid w:val="009E1219"/>
    <w:rsid w:val="009E3499"/>
    <w:rsid w:val="009E4D85"/>
    <w:rsid w:val="009E5AD2"/>
    <w:rsid w:val="009E7E24"/>
    <w:rsid w:val="009F0712"/>
    <w:rsid w:val="00A00E08"/>
    <w:rsid w:val="00A0381B"/>
    <w:rsid w:val="00A03FF9"/>
    <w:rsid w:val="00A047AA"/>
    <w:rsid w:val="00A07EA5"/>
    <w:rsid w:val="00A150C6"/>
    <w:rsid w:val="00A16171"/>
    <w:rsid w:val="00A172A9"/>
    <w:rsid w:val="00A3283A"/>
    <w:rsid w:val="00A40EE6"/>
    <w:rsid w:val="00A570C9"/>
    <w:rsid w:val="00A6341A"/>
    <w:rsid w:val="00A637D2"/>
    <w:rsid w:val="00A6634A"/>
    <w:rsid w:val="00A675D3"/>
    <w:rsid w:val="00A742E3"/>
    <w:rsid w:val="00A755B5"/>
    <w:rsid w:val="00A86AA7"/>
    <w:rsid w:val="00A86C96"/>
    <w:rsid w:val="00A8721F"/>
    <w:rsid w:val="00A91FCB"/>
    <w:rsid w:val="00A92933"/>
    <w:rsid w:val="00A94663"/>
    <w:rsid w:val="00A94FA1"/>
    <w:rsid w:val="00A951D5"/>
    <w:rsid w:val="00AA0FFB"/>
    <w:rsid w:val="00AA577D"/>
    <w:rsid w:val="00AA62EF"/>
    <w:rsid w:val="00AA6E89"/>
    <w:rsid w:val="00AB03B1"/>
    <w:rsid w:val="00AB20E1"/>
    <w:rsid w:val="00AB3584"/>
    <w:rsid w:val="00AB6279"/>
    <w:rsid w:val="00AC0729"/>
    <w:rsid w:val="00AC2F4A"/>
    <w:rsid w:val="00AC51C5"/>
    <w:rsid w:val="00AC5A33"/>
    <w:rsid w:val="00AD4348"/>
    <w:rsid w:val="00AD70FB"/>
    <w:rsid w:val="00AE17F9"/>
    <w:rsid w:val="00AE5CC9"/>
    <w:rsid w:val="00AF2AA2"/>
    <w:rsid w:val="00AF3BB9"/>
    <w:rsid w:val="00AF6752"/>
    <w:rsid w:val="00B00F07"/>
    <w:rsid w:val="00B01A65"/>
    <w:rsid w:val="00B01A82"/>
    <w:rsid w:val="00B0282C"/>
    <w:rsid w:val="00B0544D"/>
    <w:rsid w:val="00B1047F"/>
    <w:rsid w:val="00B10C8F"/>
    <w:rsid w:val="00B10DC8"/>
    <w:rsid w:val="00B21E52"/>
    <w:rsid w:val="00B220D8"/>
    <w:rsid w:val="00B22AFB"/>
    <w:rsid w:val="00B3222F"/>
    <w:rsid w:val="00B341C0"/>
    <w:rsid w:val="00B3748C"/>
    <w:rsid w:val="00B40154"/>
    <w:rsid w:val="00B40333"/>
    <w:rsid w:val="00B411B1"/>
    <w:rsid w:val="00B441E7"/>
    <w:rsid w:val="00B51CA3"/>
    <w:rsid w:val="00B61900"/>
    <w:rsid w:val="00B63312"/>
    <w:rsid w:val="00B70AC9"/>
    <w:rsid w:val="00B715D8"/>
    <w:rsid w:val="00B7172E"/>
    <w:rsid w:val="00B91076"/>
    <w:rsid w:val="00B92A4A"/>
    <w:rsid w:val="00B93383"/>
    <w:rsid w:val="00B96DB4"/>
    <w:rsid w:val="00B97121"/>
    <w:rsid w:val="00B97B64"/>
    <w:rsid w:val="00B97E06"/>
    <w:rsid w:val="00BA0598"/>
    <w:rsid w:val="00BA1AE9"/>
    <w:rsid w:val="00BA24B0"/>
    <w:rsid w:val="00BA6EAF"/>
    <w:rsid w:val="00BB56A8"/>
    <w:rsid w:val="00BB593D"/>
    <w:rsid w:val="00BB5C8A"/>
    <w:rsid w:val="00BB71F4"/>
    <w:rsid w:val="00BC7F70"/>
    <w:rsid w:val="00BD48D0"/>
    <w:rsid w:val="00BE3A91"/>
    <w:rsid w:val="00BE4A64"/>
    <w:rsid w:val="00BE4AE6"/>
    <w:rsid w:val="00BE6438"/>
    <w:rsid w:val="00C02BB0"/>
    <w:rsid w:val="00C056A3"/>
    <w:rsid w:val="00C0577F"/>
    <w:rsid w:val="00C15CC8"/>
    <w:rsid w:val="00C230B4"/>
    <w:rsid w:val="00C26682"/>
    <w:rsid w:val="00C30295"/>
    <w:rsid w:val="00C30D16"/>
    <w:rsid w:val="00C342E2"/>
    <w:rsid w:val="00C35D12"/>
    <w:rsid w:val="00C41FE4"/>
    <w:rsid w:val="00C50E96"/>
    <w:rsid w:val="00C51A8F"/>
    <w:rsid w:val="00C53551"/>
    <w:rsid w:val="00C54CF3"/>
    <w:rsid w:val="00C5524A"/>
    <w:rsid w:val="00C55793"/>
    <w:rsid w:val="00C55C1E"/>
    <w:rsid w:val="00C55F86"/>
    <w:rsid w:val="00C62B8C"/>
    <w:rsid w:val="00C63AB6"/>
    <w:rsid w:val="00C674C2"/>
    <w:rsid w:val="00C73D4C"/>
    <w:rsid w:val="00C73EDE"/>
    <w:rsid w:val="00C75933"/>
    <w:rsid w:val="00C77048"/>
    <w:rsid w:val="00C8027B"/>
    <w:rsid w:val="00C80D6E"/>
    <w:rsid w:val="00C83483"/>
    <w:rsid w:val="00C90EF2"/>
    <w:rsid w:val="00C9325B"/>
    <w:rsid w:val="00C969A4"/>
    <w:rsid w:val="00CA1A7E"/>
    <w:rsid w:val="00CA3069"/>
    <w:rsid w:val="00CA4391"/>
    <w:rsid w:val="00CA595E"/>
    <w:rsid w:val="00CB2E25"/>
    <w:rsid w:val="00CD1022"/>
    <w:rsid w:val="00CD3DBD"/>
    <w:rsid w:val="00CD4915"/>
    <w:rsid w:val="00CD5CCB"/>
    <w:rsid w:val="00CE1996"/>
    <w:rsid w:val="00CE5943"/>
    <w:rsid w:val="00CE790A"/>
    <w:rsid w:val="00CE7A33"/>
    <w:rsid w:val="00CF6C3A"/>
    <w:rsid w:val="00CF6CED"/>
    <w:rsid w:val="00D075B7"/>
    <w:rsid w:val="00D12930"/>
    <w:rsid w:val="00D13E2E"/>
    <w:rsid w:val="00D1675E"/>
    <w:rsid w:val="00D210A9"/>
    <w:rsid w:val="00D251C1"/>
    <w:rsid w:val="00D336FD"/>
    <w:rsid w:val="00D35FAF"/>
    <w:rsid w:val="00D372DD"/>
    <w:rsid w:val="00D37EB6"/>
    <w:rsid w:val="00D4419A"/>
    <w:rsid w:val="00D453D8"/>
    <w:rsid w:val="00D51695"/>
    <w:rsid w:val="00D601C1"/>
    <w:rsid w:val="00D62027"/>
    <w:rsid w:val="00D628D8"/>
    <w:rsid w:val="00D62926"/>
    <w:rsid w:val="00D66764"/>
    <w:rsid w:val="00D73B70"/>
    <w:rsid w:val="00D76397"/>
    <w:rsid w:val="00D77392"/>
    <w:rsid w:val="00D803D2"/>
    <w:rsid w:val="00D808ED"/>
    <w:rsid w:val="00D927A8"/>
    <w:rsid w:val="00D93395"/>
    <w:rsid w:val="00D97B61"/>
    <w:rsid w:val="00DA5191"/>
    <w:rsid w:val="00DA562E"/>
    <w:rsid w:val="00DA5CAD"/>
    <w:rsid w:val="00DA7A0F"/>
    <w:rsid w:val="00DB4A86"/>
    <w:rsid w:val="00DB66D0"/>
    <w:rsid w:val="00DC649E"/>
    <w:rsid w:val="00DC6B36"/>
    <w:rsid w:val="00DD0E6F"/>
    <w:rsid w:val="00DD56D6"/>
    <w:rsid w:val="00DD7D79"/>
    <w:rsid w:val="00DE2D80"/>
    <w:rsid w:val="00DE5700"/>
    <w:rsid w:val="00DE7E87"/>
    <w:rsid w:val="00DF140D"/>
    <w:rsid w:val="00DF22F8"/>
    <w:rsid w:val="00DF2730"/>
    <w:rsid w:val="00DF2AA0"/>
    <w:rsid w:val="00E00653"/>
    <w:rsid w:val="00E03E62"/>
    <w:rsid w:val="00E075CE"/>
    <w:rsid w:val="00E07889"/>
    <w:rsid w:val="00E100BF"/>
    <w:rsid w:val="00E16970"/>
    <w:rsid w:val="00E206BB"/>
    <w:rsid w:val="00E250D0"/>
    <w:rsid w:val="00E306EB"/>
    <w:rsid w:val="00E31BC0"/>
    <w:rsid w:val="00E377AA"/>
    <w:rsid w:val="00E44CFA"/>
    <w:rsid w:val="00E456F5"/>
    <w:rsid w:val="00E46159"/>
    <w:rsid w:val="00E461AE"/>
    <w:rsid w:val="00E477DD"/>
    <w:rsid w:val="00E5480E"/>
    <w:rsid w:val="00E54AF2"/>
    <w:rsid w:val="00E56D3D"/>
    <w:rsid w:val="00E60807"/>
    <w:rsid w:val="00E74DE5"/>
    <w:rsid w:val="00E9047F"/>
    <w:rsid w:val="00E91218"/>
    <w:rsid w:val="00EA165C"/>
    <w:rsid w:val="00EA2534"/>
    <w:rsid w:val="00EA45E8"/>
    <w:rsid w:val="00EA7B90"/>
    <w:rsid w:val="00EB348E"/>
    <w:rsid w:val="00EB7590"/>
    <w:rsid w:val="00EC1592"/>
    <w:rsid w:val="00EC50A3"/>
    <w:rsid w:val="00EC7B3B"/>
    <w:rsid w:val="00ED502B"/>
    <w:rsid w:val="00ED6049"/>
    <w:rsid w:val="00ED743D"/>
    <w:rsid w:val="00ED757E"/>
    <w:rsid w:val="00EE2DFA"/>
    <w:rsid w:val="00EE6C09"/>
    <w:rsid w:val="00EE793C"/>
    <w:rsid w:val="00EF3F4A"/>
    <w:rsid w:val="00F01E53"/>
    <w:rsid w:val="00F12070"/>
    <w:rsid w:val="00F154CD"/>
    <w:rsid w:val="00F22963"/>
    <w:rsid w:val="00F2372C"/>
    <w:rsid w:val="00F24299"/>
    <w:rsid w:val="00F32B60"/>
    <w:rsid w:val="00F35ACA"/>
    <w:rsid w:val="00F37937"/>
    <w:rsid w:val="00F41F65"/>
    <w:rsid w:val="00F47990"/>
    <w:rsid w:val="00F50858"/>
    <w:rsid w:val="00F50B94"/>
    <w:rsid w:val="00F60B38"/>
    <w:rsid w:val="00F60E0B"/>
    <w:rsid w:val="00F66391"/>
    <w:rsid w:val="00F6713B"/>
    <w:rsid w:val="00F703BB"/>
    <w:rsid w:val="00F737B3"/>
    <w:rsid w:val="00F779D3"/>
    <w:rsid w:val="00F82229"/>
    <w:rsid w:val="00F83DB2"/>
    <w:rsid w:val="00F91B3D"/>
    <w:rsid w:val="00F922FD"/>
    <w:rsid w:val="00F95182"/>
    <w:rsid w:val="00FA4626"/>
    <w:rsid w:val="00FB383A"/>
    <w:rsid w:val="00FB5C9E"/>
    <w:rsid w:val="00FB7F38"/>
    <w:rsid w:val="00FC6645"/>
    <w:rsid w:val="00FC6F2A"/>
    <w:rsid w:val="00FC7421"/>
    <w:rsid w:val="00FD0FB4"/>
    <w:rsid w:val="00FD5790"/>
    <w:rsid w:val="00FE1ADD"/>
    <w:rsid w:val="00FE2440"/>
    <w:rsid w:val="00FE29D9"/>
    <w:rsid w:val="00FE505E"/>
    <w:rsid w:val="00FF39FB"/>
    <w:rsid w:val="00FF76D4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9F0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AB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B6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DE2D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632967"/>
    <w:pPr>
      <w:spacing w:after="200"/>
    </w:pPr>
    <w:rPr>
      <w:b/>
      <w:bCs/>
      <w:color w:val="4F81BD" w:themeColor="accent1"/>
      <w:sz w:val="18"/>
      <w:szCs w:val="18"/>
    </w:rPr>
  </w:style>
  <w:style w:type="table" w:styleId="MediumShading1-Accent1">
    <w:name w:val="Medium Shading 1 Accent 1"/>
    <w:basedOn w:val="TableNormal"/>
    <w:uiPriority w:val="63"/>
    <w:rsid w:val="00686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ighlight1">
    <w:name w:val="highlight1"/>
    <w:basedOn w:val="DefaultParagraphFont"/>
    <w:rsid w:val="006A095F"/>
    <w:rPr>
      <w:shd w:val="clear" w:color="auto" w:fill="F2F5F8"/>
    </w:rPr>
  </w:style>
  <w:style w:type="character" w:styleId="CommentReference">
    <w:name w:val="annotation reference"/>
    <w:basedOn w:val="DefaultParagraphFont"/>
    <w:uiPriority w:val="99"/>
    <w:semiHidden/>
    <w:unhideWhenUsed/>
    <w:rsid w:val="00167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7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7E3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7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7E3"/>
    <w:rPr>
      <w:rFonts w:ascii="Tahoma" w:eastAsia="Times New Roman" w:hAnsi="Tahoma" w:cs="Tahoma"/>
      <w:sz w:val="16"/>
      <w:szCs w:val="16"/>
      <w:lang w:eastAsia="nl-NL"/>
    </w:rPr>
  </w:style>
  <w:style w:type="paragraph" w:styleId="Header">
    <w:name w:val="header"/>
    <w:basedOn w:val="Normal"/>
    <w:link w:val="HeaderChar"/>
    <w:uiPriority w:val="99"/>
    <w:unhideWhenUsed/>
    <w:rsid w:val="00E461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1AE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E461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1AE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B7172E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7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75F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ListParagraph">
    <w:name w:val="List Paragraph"/>
    <w:basedOn w:val="Normal"/>
    <w:uiPriority w:val="34"/>
    <w:qFormat/>
    <w:rsid w:val="006E675F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ED757E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D757E"/>
    <w:rPr>
      <w:rFonts w:ascii="Times New Roman" w:eastAsia="Times New Roman" w:hAnsi="Times New Roman" w:cs="Times New Roman"/>
      <w:noProof/>
      <w:sz w:val="24"/>
      <w:szCs w:val="24"/>
      <w:lang w:eastAsia="nl-NL"/>
    </w:rPr>
  </w:style>
  <w:style w:type="paragraph" w:customStyle="1" w:styleId="EndNoteBibliography">
    <w:name w:val="EndNote Bibliography"/>
    <w:basedOn w:val="Normal"/>
    <w:link w:val="EndNoteBibliographyChar"/>
    <w:rsid w:val="00ED757E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D757E"/>
    <w:rPr>
      <w:rFonts w:ascii="Times New Roman" w:eastAsia="Times New Roman" w:hAnsi="Times New Roman" w:cs="Times New Roman"/>
      <w:noProof/>
      <w:sz w:val="24"/>
      <w:szCs w:val="24"/>
      <w:lang w:eastAsia="nl-NL"/>
    </w:rPr>
  </w:style>
  <w:style w:type="table" w:styleId="MediumShading1">
    <w:name w:val="Medium Shading 1"/>
    <w:basedOn w:val="TableNormal"/>
    <w:uiPriority w:val="63"/>
    <w:rsid w:val="00191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5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nl-BE" w:eastAsia="nl-B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50A3"/>
    <w:rPr>
      <w:rFonts w:ascii="Courier New" w:eastAsia="Times New Roman" w:hAnsi="Courier New" w:cs="Courier New"/>
      <w:sz w:val="20"/>
      <w:szCs w:val="20"/>
      <w:lang w:val="nl-BE" w:eastAsia="nl-BE"/>
    </w:rPr>
  </w:style>
  <w:style w:type="paragraph" w:customStyle="1" w:styleId="Default">
    <w:name w:val="Default"/>
    <w:rsid w:val="003139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nl-NL"/>
    </w:rPr>
  </w:style>
  <w:style w:type="paragraph" w:styleId="PlainText">
    <w:name w:val="Plain Text"/>
    <w:basedOn w:val="Normal"/>
    <w:link w:val="PlainTextChar"/>
    <w:uiPriority w:val="99"/>
    <w:unhideWhenUsed/>
    <w:rsid w:val="00E306EB"/>
    <w:rPr>
      <w:rFonts w:ascii="Calibri" w:eastAsiaTheme="minorHAnsi" w:hAnsi="Calibri" w:cstheme="minorBidi"/>
      <w:sz w:val="22"/>
      <w:szCs w:val="21"/>
      <w:lang w:val="nl-B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306EB"/>
    <w:rPr>
      <w:rFonts w:ascii="Calibri" w:hAnsi="Calibri"/>
      <w:szCs w:val="21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AB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B6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DE2D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632967"/>
    <w:pPr>
      <w:spacing w:after="200"/>
    </w:pPr>
    <w:rPr>
      <w:b/>
      <w:bCs/>
      <w:color w:val="4F81BD" w:themeColor="accent1"/>
      <w:sz w:val="18"/>
      <w:szCs w:val="18"/>
    </w:rPr>
  </w:style>
  <w:style w:type="table" w:styleId="MediumShading1-Accent1">
    <w:name w:val="Medium Shading 1 Accent 1"/>
    <w:basedOn w:val="TableNormal"/>
    <w:uiPriority w:val="63"/>
    <w:rsid w:val="00686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ighlight1">
    <w:name w:val="highlight1"/>
    <w:basedOn w:val="DefaultParagraphFont"/>
    <w:rsid w:val="006A095F"/>
    <w:rPr>
      <w:shd w:val="clear" w:color="auto" w:fill="F2F5F8"/>
    </w:rPr>
  </w:style>
  <w:style w:type="character" w:styleId="CommentReference">
    <w:name w:val="annotation reference"/>
    <w:basedOn w:val="DefaultParagraphFont"/>
    <w:uiPriority w:val="99"/>
    <w:semiHidden/>
    <w:unhideWhenUsed/>
    <w:rsid w:val="00167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7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7E3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7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7E3"/>
    <w:rPr>
      <w:rFonts w:ascii="Tahoma" w:eastAsia="Times New Roman" w:hAnsi="Tahoma" w:cs="Tahoma"/>
      <w:sz w:val="16"/>
      <w:szCs w:val="16"/>
      <w:lang w:eastAsia="nl-NL"/>
    </w:rPr>
  </w:style>
  <w:style w:type="paragraph" w:styleId="Header">
    <w:name w:val="header"/>
    <w:basedOn w:val="Normal"/>
    <w:link w:val="HeaderChar"/>
    <w:uiPriority w:val="99"/>
    <w:unhideWhenUsed/>
    <w:rsid w:val="00E461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1AE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E461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1AE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B7172E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7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75F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ListParagraph">
    <w:name w:val="List Paragraph"/>
    <w:basedOn w:val="Normal"/>
    <w:uiPriority w:val="34"/>
    <w:qFormat/>
    <w:rsid w:val="006E675F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ED757E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D757E"/>
    <w:rPr>
      <w:rFonts w:ascii="Times New Roman" w:eastAsia="Times New Roman" w:hAnsi="Times New Roman" w:cs="Times New Roman"/>
      <w:noProof/>
      <w:sz w:val="24"/>
      <w:szCs w:val="24"/>
      <w:lang w:eastAsia="nl-NL"/>
    </w:rPr>
  </w:style>
  <w:style w:type="paragraph" w:customStyle="1" w:styleId="EndNoteBibliography">
    <w:name w:val="EndNote Bibliography"/>
    <w:basedOn w:val="Normal"/>
    <w:link w:val="EndNoteBibliographyChar"/>
    <w:rsid w:val="00ED757E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D757E"/>
    <w:rPr>
      <w:rFonts w:ascii="Times New Roman" w:eastAsia="Times New Roman" w:hAnsi="Times New Roman" w:cs="Times New Roman"/>
      <w:noProof/>
      <w:sz w:val="24"/>
      <w:szCs w:val="24"/>
      <w:lang w:eastAsia="nl-NL"/>
    </w:rPr>
  </w:style>
  <w:style w:type="table" w:styleId="MediumShading1">
    <w:name w:val="Medium Shading 1"/>
    <w:basedOn w:val="TableNormal"/>
    <w:uiPriority w:val="63"/>
    <w:rsid w:val="00191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5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nl-BE" w:eastAsia="nl-B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50A3"/>
    <w:rPr>
      <w:rFonts w:ascii="Courier New" w:eastAsia="Times New Roman" w:hAnsi="Courier New" w:cs="Courier New"/>
      <w:sz w:val="20"/>
      <w:szCs w:val="20"/>
      <w:lang w:val="nl-BE" w:eastAsia="nl-BE"/>
    </w:rPr>
  </w:style>
  <w:style w:type="paragraph" w:customStyle="1" w:styleId="Default">
    <w:name w:val="Default"/>
    <w:rsid w:val="003139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nl-NL"/>
    </w:rPr>
  </w:style>
  <w:style w:type="paragraph" w:styleId="PlainText">
    <w:name w:val="Plain Text"/>
    <w:basedOn w:val="Normal"/>
    <w:link w:val="PlainTextChar"/>
    <w:uiPriority w:val="99"/>
    <w:unhideWhenUsed/>
    <w:rsid w:val="00E306EB"/>
    <w:rPr>
      <w:rFonts w:ascii="Calibri" w:eastAsiaTheme="minorHAnsi" w:hAnsi="Calibri" w:cstheme="minorBidi"/>
      <w:sz w:val="22"/>
      <w:szCs w:val="21"/>
      <w:lang w:val="nl-B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306EB"/>
    <w:rPr>
      <w:rFonts w:ascii="Calibri" w:hAnsi="Calibri"/>
      <w:szCs w:val="21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E0C4B-35AE-4C4E-A85F-F33B5B22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2892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UA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Niemantsverdriet Ellis</dc:creator>
  <cp:lastModifiedBy>SGML</cp:lastModifiedBy>
  <cp:revision>2</cp:revision>
  <cp:lastPrinted>2017-02-07T14:56:00Z</cp:lastPrinted>
  <dcterms:created xsi:type="dcterms:W3CDTF">2018-03-29T10:10:00Z</dcterms:created>
  <dcterms:modified xsi:type="dcterms:W3CDTF">2018-03-29T10:10:00Z</dcterms:modified>
</cp:coreProperties>
</file>