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D2CBA">
        <w:rPr>
          <w:rFonts w:ascii="Times New Roman" w:hAnsi="Times New Roman"/>
          <w:b/>
          <w:color w:val="000000"/>
          <w:sz w:val="24"/>
          <w:szCs w:val="24"/>
        </w:rPr>
        <w:t>Supplementary Material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D2CBA">
        <w:rPr>
          <w:rFonts w:ascii="Times New Roman" w:hAnsi="Times New Roman"/>
          <w:i/>
          <w:color w:val="000000"/>
          <w:sz w:val="24"/>
          <w:szCs w:val="24"/>
        </w:rPr>
        <w:t>AD diagnosis and inclusion/exclusion criteria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All participants underwent a complete physical, neuropsychological, and functional evaluation. Determination of thyroid hormones, vitamin B12, and folic acid levels and examination of diagnostic imaging scans allowed excluding changes that could </w:t>
      </w:r>
      <w:r w:rsidRPr="001D2CBA">
        <w:rPr>
          <w:rFonts w:ascii="Times New Roman" w:hAnsi="Times New Roman"/>
          <w:sz w:val="24"/>
          <w:szCs w:val="24"/>
        </w:rPr>
        <w:t>induce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severe cognitive deficits other than AD. </w:t>
      </w:r>
    </w:p>
    <w:p w:rsidR="005B34A7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D2CBA">
        <w:rPr>
          <w:rFonts w:ascii="Times New Roman" w:hAnsi="Times New Roman"/>
          <w:color w:val="000000"/>
          <w:sz w:val="24"/>
          <w:szCs w:val="24"/>
        </w:rPr>
        <w:t>Possible/probable AD was diagnosed according to DSM-IV [1] or NINCDS-ADRDA criteria [2]. The inclusion criteria were age 65 years or older, availability during the training and testing phases, a CDR score of 1 (mild dementia) or 2 (moderate dementia), and the involvement of a caregiver. The exclusion criteria were serious medical</w:t>
      </w:r>
      <w:r w:rsidRPr="001D2CBA">
        <w:rPr>
          <w:rFonts w:ascii="Times New Roman" w:hAnsi="Times New Roman"/>
          <w:sz w:val="24"/>
          <w:szCs w:val="24"/>
        </w:rPr>
        <w:t xml:space="preserve"> and psychiatric conditions and sensorimotor deficits that would prevent participation in CI training, participation in a previous cognitive training program, severe AD,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and neurodegenerative disorders other than AD. 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D2CBA">
        <w:rPr>
          <w:rFonts w:ascii="Times New Roman" w:hAnsi="Times New Roman"/>
          <w:i/>
          <w:color w:val="000000"/>
          <w:sz w:val="24"/>
          <w:szCs w:val="24"/>
        </w:rPr>
        <w:t xml:space="preserve">Comprehensive intervention </w:t>
      </w:r>
    </w:p>
    <w:p w:rsidR="005B34A7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2CBA">
        <w:rPr>
          <w:rFonts w:ascii="Times New Roman" w:hAnsi="Times New Roman"/>
          <w:sz w:val="24"/>
          <w:szCs w:val="24"/>
        </w:rPr>
        <w:t>In the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10 once weekly sessions, individualized approach helped patients identify </w:t>
      </w:r>
      <w:r w:rsidRPr="001D2CBA">
        <w:rPr>
          <w:rFonts w:ascii="Times New Roman" w:hAnsi="Times New Roman"/>
          <w:sz w:val="24"/>
          <w:szCs w:val="24"/>
        </w:rPr>
        <w:t>the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goals set for them and to exercise strategies that would allow </w:t>
      </w:r>
      <w:proofErr w:type="gramStart"/>
      <w:r w:rsidRPr="001D2CBA">
        <w:rPr>
          <w:rFonts w:ascii="Times New Roman" w:hAnsi="Times New Roman"/>
          <w:color w:val="000000"/>
          <w:sz w:val="24"/>
          <w:szCs w:val="24"/>
        </w:rPr>
        <w:t>to reach</w:t>
      </w:r>
      <w:proofErr w:type="gramEnd"/>
      <w:r w:rsidRPr="001D2CBA">
        <w:rPr>
          <w:rFonts w:ascii="Times New Roman" w:hAnsi="Times New Roman"/>
          <w:color w:val="000000"/>
          <w:sz w:val="24"/>
          <w:szCs w:val="24"/>
        </w:rPr>
        <w:t xml:space="preserve"> these objectives. Patients were taught some mnemonic techniques aimed to enhance attention (especially orientation, </w:t>
      </w:r>
      <w:r>
        <w:rPr>
          <w:rFonts w:ascii="Times New Roman" w:hAnsi="Times New Roman"/>
          <w:color w:val="000000"/>
          <w:sz w:val="24"/>
          <w:szCs w:val="24"/>
        </w:rPr>
        <w:t>activities of daily living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planning, and episodic and prospective memory) and were asked to do daily cognitive homework with the help and support of a caregiver (e.g.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to learn categorization, clustering, and attention strategies and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visuospatial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CBA">
        <w:rPr>
          <w:rFonts w:ascii="Times New Roman" w:hAnsi="Times New Roman"/>
          <w:sz w:val="24"/>
          <w:szCs w:val="24"/>
        </w:rPr>
        <w:t>processes</w:t>
      </w:r>
      <w:r w:rsidRPr="001D2CBA">
        <w:rPr>
          <w:rFonts w:ascii="Times New Roman" w:hAnsi="Times New Roman"/>
          <w:color w:val="000000"/>
          <w:sz w:val="24"/>
          <w:szCs w:val="24"/>
        </w:rPr>
        <w:t>). The CI also included advice on healthy lifestyle, like diet, alcohol consumption, smoking habits, physical and leisure activities. Patient-tailored psychological support was also provided to patients and caregi</w:t>
      </w:r>
      <w:r w:rsidRPr="001D2CBA">
        <w:rPr>
          <w:rFonts w:ascii="Times New Roman" w:hAnsi="Times New Roman"/>
          <w:sz w:val="24"/>
          <w:szCs w:val="24"/>
        </w:rPr>
        <w:t>vers to reduce functional disabilities.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D2CBA">
        <w:rPr>
          <w:rFonts w:ascii="Times New Roman" w:hAnsi="Times New Roman"/>
          <w:i/>
          <w:color w:val="000000"/>
          <w:sz w:val="24"/>
          <w:szCs w:val="24"/>
        </w:rPr>
        <w:t xml:space="preserve">Measurement of </w:t>
      </w:r>
      <w:proofErr w:type="spellStart"/>
      <w:r w:rsidRPr="001D2CBA">
        <w:rPr>
          <w:rFonts w:ascii="Times New Roman" w:hAnsi="Times New Roman"/>
          <w:i/>
          <w:color w:val="000000"/>
          <w:sz w:val="24"/>
          <w:szCs w:val="24"/>
        </w:rPr>
        <w:t>pBDNF</w:t>
      </w:r>
      <w:proofErr w:type="spellEnd"/>
      <w:r w:rsidRPr="001D2CBA">
        <w:rPr>
          <w:rFonts w:ascii="Times New Roman" w:hAnsi="Times New Roman"/>
          <w:i/>
          <w:color w:val="000000"/>
          <w:sz w:val="24"/>
          <w:szCs w:val="24"/>
        </w:rPr>
        <w:t xml:space="preserve"> concentration</w:t>
      </w:r>
    </w:p>
    <w:p w:rsidR="005B34A7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D2CBA">
        <w:rPr>
          <w:rFonts w:ascii="Times New Roman" w:hAnsi="Times New Roman"/>
          <w:color w:val="000000"/>
          <w:sz w:val="24"/>
          <w:szCs w:val="24"/>
        </w:rPr>
        <w:t>Blood was centrifuged at 200 x g for 10 min. Platelet-rich plasma was then centrifuged at 1,500 x g for 15 min to separate plasma from platelets. Plasma was</w:t>
      </w:r>
      <w:r>
        <w:rPr>
          <w:rFonts w:ascii="Times New Roman" w:hAnsi="Times New Roman"/>
          <w:color w:val="000000"/>
          <w:sz w:val="24"/>
          <w:szCs w:val="24"/>
        </w:rPr>
        <w:t xml:space="preserve"> immediately stored at –80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°C until use. </w:t>
      </w:r>
      <w:proofErr w:type="spellStart"/>
      <w:proofErr w:type="gramStart"/>
      <w:r w:rsidRPr="001D2CBA">
        <w:rPr>
          <w:rFonts w:ascii="Times New Roman" w:hAnsi="Times New Roman"/>
          <w:sz w:val="24"/>
          <w:szCs w:val="24"/>
        </w:rPr>
        <w:t>pBDNF</w:t>
      </w:r>
      <w:proofErr w:type="spellEnd"/>
      <w:proofErr w:type="gramEnd"/>
      <w:r w:rsidRPr="001D2CBA">
        <w:rPr>
          <w:rFonts w:ascii="Times New Roman" w:hAnsi="Times New Roman"/>
          <w:sz w:val="24"/>
          <w:szCs w:val="24"/>
        </w:rPr>
        <w:t xml:space="preserve"> (pro-BDNF and mature BDNF) was determined using a commercial kit (BDNF Human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ELISA kit, ab99978,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Abcam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>, Cambridge, UK) in line with the manufacturer’s instructions. Results were expressed as mg/ml. All samples were tested in duplicate.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1D2CBA">
        <w:rPr>
          <w:rFonts w:ascii="Times New Roman" w:hAnsi="Times New Roman"/>
          <w:i/>
          <w:color w:val="000000"/>
          <w:sz w:val="24"/>
          <w:szCs w:val="24"/>
        </w:rPr>
        <w:t>Statistical analyses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Since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pBDNF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concentrations were not normally distributed, values were log-transformed; means and 95 % </w:t>
      </w:r>
      <w:r w:rsidRPr="001D2CBA">
        <w:rPr>
          <w:rFonts w:ascii="Times New Roman" w:hAnsi="Times New Roman"/>
          <w:sz w:val="24"/>
          <w:szCs w:val="24"/>
        </w:rPr>
        <w:t>confidence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interval were then back-transformed for presentation. Unless otherwise specified, results are expressed as mean ± standard error of the mean (SEM) in the case of continuous variables and as percentage for categorical variables. Between-group comparisons were performed using Student’s t test/χ-square test; among-group </w:t>
      </w:r>
      <w:r w:rsidRPr="001D2CBA">
        <w:rPr>
          <w:rFonts w:ascii="Times New Roman" w:hAnsi="Times New Roman"/>
          <w:sz w:val="24"/>
          <w:szCs w:val="24"/>
        </w:rPr>
        <w:t>comparisons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(3 groups) at baseline </w:t>
      </w:r>
      <w:r w:rsidRPr="001D2CBA">
        <w:rPr>
          <w:rFonts w:ascii="Times New Roman" w:hAnsi="Times New Roman"/>
          <w:sz w:val="24"/>
          <w:szCs w:val="24"/>
        </w:rPr>
        <w:t xml:space="preserve">were performed using one-way ANOVA followed by </w:t>
      </w:r>
      <w:proofErr w:type="spellStart"/>
      <w:r w:rsidRPr="001D2CBA">
        <w:rPr>
          <w:rFonts w:ascii="Times New Roman" w:hAnsi="Times New Roman"/>
          <w:sz w:val="24"/>
          <w:szCs w:val="24"/>
        </w:rPr>
        <w:t>Bonferroni’s</w:t>
      </w:r>
      <w:proofErr w:type="spellEnd"/>
      <w:r w:rsidRPr="001D2CBA">
        <w:rPr>
          <w:rFonts w:ascii="Times New Roman" w:hAnsi="Times New Roman"/>
          <w:sz w:val="24"/>
          <w:szCs w:val="24"/>
        </w:rPr>
        <w:t xml:space="preserve"> post-hoc test; before/after CI</w:t>
      </w:r>
      <w:r w:rsidRPr="001D2C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2CBA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(baseline versus</w:t>
      </w:r>
      <w:r w:rsidRPr="001D2CBA">
        <w:rPr>
          <w:rFonts w:ascii="Times New Roman" w:hAnsi="Times New Roman"/>
          <w:sz w:val="24"/>
          <w:szCs w:val="24"/>
        </w:rPr>
        <w:t xml:space="preserve"> FU1) and baseline, FU1, FU2, and FU3 data were tested with the General Linear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Model; Pearson’s coefficient was used to assess correlations between variables. A p value &lt; 0.05 was set for significance.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5B34A7" w:rsidRPr="001D2CBA" w:rsidRDefault="005B34A7" w:rsidP="005B34A7">
      <w:pPr>
        <w:tabs>
          <w:tab w:val="left" w:pos="360"/>
        </w:tabs>
        <w:spacing w:after="0" w:line="48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D2CBA">
        <w:rPr>
          <w:rFonts w:ascii="Times New Roman" w:hAnsi="Times New Roman"/>
          <w:b/>
          <w:color w:val="000000"/>
          <w:sz w:val="24"/>
          <w:szCs w:val="24"/>
        </w:rPr>
        <w:t>REFERENCES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1D2CB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C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American Psychiatric Association (2000) </w:t>
      </w:r>
      <w:r w:rsidRPr="001D2CBA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Diagnostic and statistical manual of mental disorders </w:t>
      </w:r>
      <w:r w:rsidRPr="001D2CB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(4th ed.)</w:t>
      </w:r>
      <w:r w:rsidRPr="001D2C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American Psychiatric Association, </w:t>
      </w:r>
      <w:r w:rsidRPr="001D2C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Washington DC.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[</w:t>
      </w:r>
      <w:r w:rsidRPr="001D2CBA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]</w:t>
      </w:r>
      <w:r w:rsidRPr="001D2C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D2CBA">
        <w:rPr>
          <w:rFonts w:ascii="Times New Roman" w:hAnsi="Times New Roman"/>
          <w:bCs/>
          <w:color w:val="000000"/>
          <w:sz w:val="24"/>
          <w:szCs w:val="24"/>
        </w:rPr>
        <w:t>McKhann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GM,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Knopman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DS,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Chertkow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H, Hyman BT, Jack CR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Jr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Kawas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CH,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Klunk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WE,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Koroshetz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WJ, Manly JJ,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Mayeux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Mohs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RC, Morris JC,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Rossor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MN,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Scheltens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P, Carrillo MC,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Thies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B,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Weintraub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S, Phelps CH (2011) The diagnosis of dementia due to Alzheimer's disease: recommendations from the National Institute on Aging-Alzheimer's Association workgroups on diagnostic guidelines for Alzheimer's disease. </w:t>
      </w:r>
      <w:proofErr w:type="spellStart"/>
      <w:r w:rsidRPr="001D2CBA">
        <w:rPr>
          <w:rStyle w:val="jrnl"/>
          <w:i/>
          <w:color w:val="000000"/>
          <w:sz w:val="24"/>
          <w:szCs w:val="24"/>
        </w:rPr>
        <w:t>Alzheimers</w:t>
      </w:r>
      <w:proofErr w:type="spellEnd"/>
      <w:r w:rsidRPr="001D2CBA">
        <w:rPr>
          <w:rStyle w:val="jrnl"/>
          <w:i/>
          <w:color w:val="000000"/>
          <w:sz w:val="24"/>
          <w:szCs w:val="24"/>
        </w:rPr>
        <w:t xml:space="preserve"> Dement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CB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, 263-269. 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</w:t>
      </w:r>
      <w:r w:rsidRPr="001D2CB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]</w:t>
      </w:r>
      <w:r w:rsidRPr="001D2C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Magni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E,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Binetti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G,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Bianchetti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A,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Rozzini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 w:rsidRPr="001D2CBA">
        <w:rPr>
          <w:rFonts w:ascii="Times New Roman" w:hAnsi="Times New Roman"/>
          <w:color w:val="000000"/>
          <w:sz w:val="24"/>
          <w:szCs w:val="24"/>
        </w:rPr>
        <w:t>Trabucchi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M (1996) Mini-Mental State Examination: a normative study in Italian elderly population. </w:t>
      </w:r>
      <w:proofErr w:type="spellStart"/>
      <w:r w:rsidRPr="001D2CBA">
        <w:rPr>
          <w:rFonts w:ascii="Times New Roman" w:hAnsi="Times New Roman"/>
          <w:i/>
          <w:color w:val="000000"/>
          <w:sz w:val="24"/>
          <w:szCs w:val="24"/>
        </w:rPr>
        <w:t>Eur</w:t>
      </w:r>
      <w:proofErr w:type="spellEnd"/>
      <w:r w:rsidRPr="001D2CBA">
        <w:rPr>
          <w:rFonts w:ascii="Times New Roman" w:hAnsi="Times New Roman"/>
          <w:i/>
          <w:color w:val="000000"/>
          <w:sz w:val="24"/>
          <w:szCs w:val="24"/>
        </w:rPr>
        <w:t xml:space="preserve"> J </w:t>
      </w:r>
      <w:proofErr w:type="spellStart"/>
      <w:r w:rsidRPr="001D2CBA">
        <w:rPr>
          <w:rFonts w:ascii="Times New Roman" w:hAnsi="Times New Roman"/>
          <w:i/>
          <w:color w:val="000000"/>
          <w:sz w:val="24"/>
          <w:szCs w:val="24"/>
        </w:rPr>
        <w:t>Neurol</w:t>
      </w:r>
      <w:proofErr w:type="spellEnd"/>
      <w:r w:rsidRPr="001D2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2CB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D2CBA">
        <w:rPr>
          <w:rFonts w:ascii="Times New Roman" w:hAnsi="Times New Roman"/>
          <w:color w:val="000000"/>
          <w:sz w:val="24"/>
          <w:szCs w:val="24"/>
        </w:rPr>
        <w:t>, 198-202.</w:t>
      </w:r>
    </w:p>
    <w:p w:rsidR="005B34A7" w:rsidRDefault="005B34A7" w:rsidP="005B34A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2CBA">
        <w:rPr>
          <w:rFonts w:ascii="Times New Roman" w:hAnsi="Times New Roman"/>
          <w:b/>
          <w:color w:val="000000"/>
          <w:sz w:val="24"/>
          <w:szCs w:val="24"/>
        </w:rPr>
        <w:br w:type="page"/>
      </w:r>
      <w:proofErr w:type="gramStart"/>
      <w:r w:rsidRPr="001D2CBA">
        <w:rPr>
          <w:rFonts w:ascii="Times New Roman" w:hAnsi="Times New Roman"/>
          <w:b/>
          <w:color w:val="000000"/>
          <w:sz w:val="24"/>
          <w:szCs w:val="24"/>
        </w:rPr>
        <w:lastRenderedPageBreak/>
        <w:t>Supplementary Table 1.</w:t>
      </w:r>
      <w:proofErr w:type="gramEnd"/>
      <w:r w:rsidRPr="001D2C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D2CBA">
        <w:rPr>
          <w:rFonts w:ascii="Times New Roman" w:hAnsi="Times New Roman"/>
          <w:color w:val="000000"/>
          <w:sz w:val="24"/>
          <w:szCs w:val="24"/>
        </w:rPr>
        <w:t>Baseline socio-demographic data and neuropsychological profile of participants.</w:t>
      </w:r>
      <w:proofErr w:type="gramEnd"/>
    </w:p>
    <w:p w:rsidR="005B34A7" w:rsidRPr="001D2CBA" w:rsidRDefault="005B34A7" w:rsidP="005B34A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9"/>
        <w:gridCol w:w="1948"/>
        <w:gridCol w:w="2076"/>
        <w:gridCol w:w="1886"/>
      </w:tblGrid>
      <w:tr w:rsidR="005B34A7" w:rsidRPr="001D2CBA" w:rsidTr="00E93E8A">
        <w:trPr>
          <w:trHeight w:val="59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Healthy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(n=85)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AD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(n=80)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72.71 ± 0.61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77.45 ± 0.60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Gender (females/total)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67/85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58/80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0.344</w:t>
            </w:r>
          </w:p>
        </w:tc>
      </w:tr>
      <w:tr w:rsidR="005B34A7" w:rsidRPr="001D2CBA" w:rsidTr="00E93E8A">
        <w:trPr>
          <w:trHeight w:val="118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Marital status (%):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married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unmarried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widowed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50.6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62.5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0.05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Years of schooling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9.29 ± 0.50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4.78 ± 0.33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MMSE*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28.13 ± 0.11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19.69 ± 0.38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GDS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7.99 ± 0.56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8.09 ± 0.62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0.905</w:t>
            </w:r>
          </w:p>
        </w:tc>
      </w:tr>
      <w:tr w:rsidR="005B34A7" w:rsidRPr="001D2CBA" w:rsidTr="00E93E8A">
        <w:trPr>
          <w:trHeight w:val="296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ADL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5.98 ± 0.01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5.23 ± 0.12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  <w:tr w:rsidR="005B34A7" w:rsidRPr="001D2CBA" w:rsidTr="00E93E8A">
        <w:trPr>
          <w:trHeight w:val="31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IADL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7.98 ± 0.02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color w:val="000000"/>
                <w:sz w:val="24"/>
                <w:szCs w:val="24"/>
              </w:rPr>
              <w:t>3.35 ± 0.22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4A7" w:rsidRPr="001D2CBA" w:rsidRDefault="005B34A7" w:rsidP="00E93E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C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</w:tbl>
    <w:p w:rsidR="005B34A7" w:rsidRPr="001D2CBA" w:rsidRDefault="005B34A7" w:rsidP="005B34A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34A7" w:rsidRPr="001D2CBA" w:rsidRDefault="005B34A7" w:rsidP="005B34A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2CBA">
        <w:rPr>
          <w:rFonts w:ascii="Times New Roman" w:hAnsi="Times New Roman"/>
          <w:color w:val="000000"/>
          <w:sz w:val="24"/>
          <w:szCs w:val="24"/>
        </w:rPr>
        <w:t>AD, patients with Alzheimer’s disease; MMSE, Mini Mental State Examination; GDS, Geriatric Depression Scale; ADL, Activities of Daily Living; IADL, Instrumental Activities of Daily Living. Significant differences are in bold. * MMSE scores were corrected for age and schooling [3]</w:t>
      </w:r>
    </w:p>
    <w:p w:rsidR="005B34A7" w:rsidRPr="001D2CBA" w:rsidRDefault="005B34A7" w:rsidP="005B34A7">
      <w:pPr>
        <w:tabs>
          <w:tab w:val="left" w:pos="360"/>
        </w:tabs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690EDD" w:rsidRDefault="00690EDD">
      <w:bookmarkStart w:id="0" w:name="_GoBack"/>
      <w:bookmarkEnd w:id="0"/>
    </w:p>
    <w:sectPr w:rsidR="00690EDD" w:rsidSect="001D2CB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5B34A7"/>
    <w:rsid w:val="006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rsid w:val="005B34A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rnl">
    <w:name w:val="jrnl"/>
    <w:rsid w:val="005B34A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2017-02-06T10:19:00Z</dcterms:created>
  <dcterms:modified xsi:type="dcterms:W3CDTF">2017-02-06T10:20:00Z</dcterms:modified>
</cp:coreProperties>
</file>