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9A5AF" w14:textId="5C166D79" w:rsidR="00054DFF" w:rsidRPr="00974239" w:rsidRDefault="00974239" w:rsidP="00974239">
      <w:pPr>
        <w:pStyle w:val="Heading1"/>
        <w:tabs>
          <w:tab w:val="left" w:pos="360"/>
        </w:tabs>
        <w:spacing w:before="0" w:after="0" w:line="480" w:lineRule="auto"/>
        <w:jc w:val="left"/>
        <w:rPr>
          <w:rFonts w:cs="Times New Roman"/>
          <w:sz w:val="40"/>
          <w:szCs w:val="40"/>
        </w:rPr>
      </w:pPr>
      <w:r w:rsidRPr="00974239">
        <w:rPr>
          <w:rFonts w:cs="Times New Roman"/>
          <w:sz w:val="40"/>
          <w:szCs w:val="40"/>
        </w:rPr>
        <w:t>Supplementary Material</w:t>
      </w:r>
    </w:p>
    <w:p w14:paraId="31E859EA" w14:textId="77777777" w:rsidR="00974239" w:rsidRPr="00974239" w:rsidRDefault="00974239" w:rsidP="00974239">
      <w:pPr>
        <w:pStyle w:val="Heading2"/>
        <w:tabs>
          <w:tab w:val="left" w:pos="360"/>
        </w:tabs>
        <w:spacing w:before="0" w:after="0" w:line="480" w:lineRule="auto"/>
        <w:jc w:val="left"/>
        <w:rPr>
          <w:rFonts w:cs="Times New Roman"/>
          <w:sz w:val="24"/>
          <w:szCs w:val="24"/>
        </w:rPr>
      </w:pPr>
    </w:p>
    <w:p w14:paraId="1A43C442" w14:textId="39CE2792" w:rsidR="00644C3E" w:rsidRPr="00974239" w:rsidRDefault="00644C3E" w:rsidP="00974239">
      <w:pPr>
        <w:pStyle w:val="Heading2"/>
        <w:tabs>
          <w:tab w:val="left" w:pos="360"/>
        </w:tabs>
        <w:spacing w:before="0" w:after="0" w:line="480" w:lineRule="auto"/>
        <w:jc w:val="left"/>
        <w:rPr>
          <w:rFonts w:cs="Times New Roman"/>
          <w:sz w:val="24"/>
          <w:szCs w:val="24"/>
        </w:rPr>
      </w:pPr>
      <w:r w:rsidRPr="00974239">
        <w:rPr>
          <w:rFonts w:cs="Times New Roman"/>
          <w:sz w:val="24"/>
          <w:szCs w:val="24"/>
        </w:rPr>
        <w:t>S1</w:t>
      </w:r>
      <w:r w:rsidR="00974239">
        <w:rPr>
          <w:rFonts w:cs="Times New Roman"/>
          <w:sz w:val="24"/>
          <w:szCs w:val="24"/>
        </w:rPr>
        <w:t>.</w:t>
      </w:r>
      <w:r w:rsidRPr="00974239">
        <w:rPr>
          <w:rFonts w:cs="Times New Roman"/>
          <w:sz w:val="24"/>
          <w:szCs w:val="24"/>
        </w:rPr>
        <w:t xml:space="preserve"> </w:t>
      </w:r>
      <w:proofErr w:type="spellStart"/>
      <w:r w:rsidRPr="00974239">
        <w:rPr>
          <w:rFonts w:cs="Times New Roman"/>
          <w:sz w:val="24"/>
          <w:szCs w:val="24"/>
        </w:rPr>
        <w:t>Lipidomic</w:t>
      </w:r>
      <w:proofErr w:type="spellEnd"/>
      <w:r w:rsidRPr="00974239">
        <w:rPr>
          <w:rFonts w:cs="Times New Roman"/>
          <w:sz w:val="24"/>
          <w:szCs w:val="24"/>
        </w:rPr>
        <w:t xml:space="preserve"> Analysis</w:t>
      </w:r>
    </w:p>
    <w:p w14:paraId="3D0AC285" w14:textId="05C8F7C2" w:rsidR="00644C3E" w:rsidRPr="00974239" w:rsidRDefault="00974239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>
        <w:rPr>
          <w:rFonts w:cs="Times New Roman"/>
        </w:rPr>
        <w:tab/>
      </w:r>
      <w:r w:rsidR="00644C3E" w:rsidRPr="00974239">
        <w:rPr>
          <w:rFonts w:cs="Times New Roman"/>
        </w:rPr>
        <w:t xml:space="preserve">Twenty microliters of plasma was added to a glass liquid chromatography vial with a </w:t>
      </w:r>
      <w:proofErr w:type="gramStart"/>
      <w:r w:rsidR="00644C3E" w:rsidRPr="00974239">
        <w:rPr>
          <w:rFonts w:cs="Times New Roman"/>
        </w:rPr>
        <w:t>400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μL</w:t>
      </w:r>
      <w:proofErr w:type="spellEnd"/>
      <w:proofErr w:type="gramEnd"/>
      <w:r w:rsidR="00644C3E" w:rsidRPr="00974239">
        <w:rPr>
          <w:rFonts w:cs="Times New Roman"/>
        </w:rPr>
        <w:t xml:space="preserve"> insert (</w:t>
      </w:r>
      <w:proofErr w:type="spellStart"/>
      <w:r w:rsidR="00644C3E" w:rsidRPr="00974239">
        <w:rPr>
          <w:rFonts w:cs="Times New Roman"/>
        </w:rPr>
        <w:t>Chromacol</w:t>
      </w:r>
      <w:proofErr w:type="spellEnd"/>
      <w:r w:rsidR="00644C3E" w:rsidRPr="00974239">
        <w:rPr>
          <w:rFonts w:cs="Times New Roman"/>
        </w:rPr>
        <w:t>, UK) followed by MS grade water (10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μL</w:t>
      </w:r>
      <w:proofErr w:type="spellEnd"/>
      <w:r w:rsidR="00644C3E" w:rsidRPr="00974239">
        <w:rPr>
          <w:rFonts w:cs="Times New Roman"/>
        </w:rPr>
        <w:t xml:space="preserve">). Forty microliters of MS grade methanol was added followed by 2 min vortex mix to precipitate proteins. </w:t>
      </w:r>
      <w:r w:rsidR="00D16F42" w:rsidRPr="00974239">
        <w:rPr>
          <w:rFonts w:cs="Times New Roman"/>
        </w:rPr>
        <w:t>200</w:t>
      </w:r>
      <w:r>
        <w:rPr>
          <w:rFonts w:cs="Times New Roman"/>
        </w:rPr>
        <w:t xml:space="preserve"> </w:t>
      </w:r>
      <w:proofErr w:type="spellStart"/>
      <w:r w:rsidR="00D16F42" w:rsidRPr="00974239">
        <w:rPr>
          <w:rFonts w:cs="Times New Roman"/>
        </w:rPr>
        <w:t>μ</w:t>
      </w:r>
      <w:r w:rsidR="003474FC" w:rsidRPr="00974239">
        <w:rPr>
          <w:rFonts w:cs="Times New Roman"/>
        </w:rPr>
        <w:t>L</w:t>
      </w:r>
      <w:proofErr w:type="spellEnd"/>
      <w:r w:rsidR="003474FC" w:rsidRPr="00974239">
        <w:rPr>
          <w:rFonts w:cs="Times New Roman"/>
        </w:rPr>
        <w:t xml:space="preserve"> of </w:t>
      </w:r>
      <w:r w:rsidR="00644C3E" w:rsidRPr="00974239">
        <w:rPr>
          <w:rFonts w:cs="Times New Roman"/>
        </w:rPr>
        <w:t xml:space="preserve">methyl </w:t>
      </w:r>
      <w:proofErr w:type="spellStart"/>
      <w:r w:rsidR="00644C3E" w:rsidRPr="00974239">
        <w:rPr>
          <w:rFonts w:cs="Times New Roman"/>
        </w:rPr>
        <w:t>tert-butly</w:t>
      </w:r>
      <w:proofErr w:type="spellEnd"/>
      <w:r w:rsidR="00644C3E" w:rsidRPr="00974239">
        <w:rPr>
          <w:rFonts w:cs="Times New Roman"/>
        </w:rPr>
        <w:t xml:space="preserve"> ether (MTBE) containing 10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 xml:space="preserve">μg/mL </w:t>
      </w:r>
      <w:proofErr w:type="spellStart"/>
      <w:r w:rsidR="00644C3E" w:rsidRPr="00974239">
        <w:rPr>
          <w:rFonts w:cs="Times New Roman"/>
        </w:rPr>
        <w:t>tripentadecanoin</w:t>
      </w:r>
      <w:proofErr w:type="spellEnd"/>
      <w:r>
        <w:rPr>
          <w:rFonts w:cs="Times New Roman"/>
        </w:rPr>
        <w:t xml:space="preserve"> </w:t>
      </w:r>
      <w:r w:rsidR="00F45F57" w:rsidRPr="00974239">
        <w:rPr>
          <w:rFonts w:cs="Times New Roman"/>
        </w:rPr>
        <w:t>(Sigma-Aldrich, St. Louis, USA)</w:t>
      </w:r>
      <w:r w:rsidR="00644C3E" w:rsidRPr="00974239">
        <w:rPr>
          <w:rFonts w:cs="Times New Roman"/>
        </w:rPr>
        <w:t>, an internal standard, was added which then underwent vortex mix</w:t>
      </w:r>
      <w:r w:rsidR="00B14D37" w:rsidRPr="00974239">
        <w:rPr>
          <w:rFonts w:cs="Times New Roman"/>
        </w:rPr>
        <w:t>ing</w:t>
      </w:r>
      <w:r w:rsidR="00644C3E" w:rsidRPr="00974239">
        <w:rPr>
          <w:rFonts w:cs="Times New Roman"/>
        </w:rPr>
        <w:t xml:space="preserve"> for 1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h. After adding</w:t>
      </w:r>
      <w:r w:rsidR="00B14D37" w:rsidRPr="00974239">
        <w:rPr>
          <w:rFonts w:cs="Times New Roman"/>
        </w:rPr>
        <w:t xml:space="preserve"> an</w:t>
      </w:r>
      <w:r w:rsidR="00644C3E" w:rsidRPr="00974239">
        <w:rPr>
          <w:rFonts w:cs="Times New Roman"/>
        </w:rPr>
        <w:t xml:space="preserve"> additional 50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μL</w:t>
      </w:r>
      <w:proofErr w:type="spellEnd"/>
      <w:r w:rsidR="00B14D37" w:rsidRPr="00974239">
        <w:rPr>
          <w:rFonts w:cs="Times New Roman"/>
        </w:rPr>
        <w:t xml:space="preserve"> of </w:t>
      </w:r>
      <w:r w:rsidR="00644C3E" w:rsidRPr="00974239">
        <w:rPr>
          <w:rFonts w:cs="Times New Roman"/>
        </w:rPr>
        <w:t>water followed by a final sample mix</w:t>
      </w:r>
      <w:r w:rsidR="00B14D37" w:rsidRPr="00974239">
        <w:rPr>
          <w:rFonts w:cs="Times New Roman"/>
        </w:rPr>
        <w:t>ing</w:t>
      </w:r>
      <w:r w:rsidR="00644C3E" w:rsidRPr="00974239">
        <w:rPr>
          <w:rFonts w:cs="Times New Roman"/>
        </w:rPr>
        <w:t>, the sample was centrifuged at 3000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g for 10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min.</w:t>
      </w:r>
    </w:p>
    <w:p w14:paraId="6FA59238" w14:textId="3A8E3F31" w:rsidR="00644C3E" w:rsidRPr="00974239" w:rsidRDefault="00974239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>
        <w:rPr>
          <w:rFonts w:cs="Times New Roman"/>
        </w:rPr>
        <w:tab/>
      </w:r>
      <w:proofErr w:type="spellStart"/>
      <w:r w:rsidR="00644C3E" w:rsidRPr="00974239">
        <w:rPr>
          <w:rFonts w:cs="Times New Roman"/>
        </w:rPr>
        <w:t>Lipidomic</w:t>
      </w:r>
      <w:proofErr w:type="spellEnd"/>
      <w:r w:rsidR="00644C3E" w:rsidRPr="00974239">
        <w:rPr>
          <w:rFonts w:cs="Times New Roman"/>
        </w:rPr>
        <w:t xml:space="preserve"> analysis </w:t>
      </w:r>
      <w:r w:rsidR="00B14D37" w:rsidRPr="00974239">
        <w:rPr>
          <w:rFonts w:cs="Times New Roman"/>
        </w:rPr>
        <w:t>of the</w:t>
      </w:r>
      <w:r w:rsidR="00644C3E" w:rsidRPr="00974239">
        <w:rPr>
          <w:rFonts w:cs="Times New Roman"/>
        </w:rPr>
        <w:t xml:space="preserve"> MTBE upper phase of</w:t>
      </w:r>
      <w:r w:rsidR="00B14D37" w:rsidRPr="00974239">
        <w:rPr>
          <w:rFonts w:cs="Times New Roman"/>
        </w:rPr>
        <w:t xml:space="preserve"> the</w:t>
      </w:r>
      <w:r w:rsidR="00644C3E" w:rsidRPr="00974239">
        <w:rPr>
          <w:rFonts w:cs="Times New Roman"/>
        </w:rPr>
        <w:t xml:space="preserve"> sample extract containing lipids was carried out by a liquid chromatography coupled to </w:t>
      </w:r>
      <w:proofErr w:type="spellStart"/>
      <w:r w:rsidR="00644C3E" w:rsidRPr="00974239">
        <w:rPr>
          <w:rFonts w:cs="Times New Roman"/>
        </w:rPr>
        <w:t>Xevo</w:t>
      </w:r>
      <w:proofErr w:type="spellEnd"/>
      <w:r w:rsidR="00644C3E" w:rsidRPr="00974239"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QToF</w:t>
      </w:r>
      <w:proofErr w:type="spellEnd"/>
      <w:r w:rsidR="00644C3E" w:rsidRPr="00974239">
        <w:rPr>
          <w:rFonts w:cs="Times New Roman"/>
        </w:rPr>
        <w:t xml:space="preserve"> MS (Waters, Milford, USA). Chromatographic separation was achieved using an Agilent </w:t>
      </w:r>
      <w:proofErr w:type="spellStart"/>
      <w:r w:rsidR="00644C3E" w:rsidRPr="00974239">
        <w:rPr>
          <w:rFonts w:cs="Times New Roman"/>
        </w:rPr>
        <w:t>Poroshell</w:t>
      </w:r>
      <w:proofErr w:type="spellEnd"/>
      <w:r w:rsidR="00644C3E" w:rsidRPr="00974239">
        <w:rPr>
          <w:rFonts w:cs="Times New Roman"/>
        </w:rPr>
        <w:t xml:space="preserve"> 120 EC-C8 column (150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mm × 2.1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mm, 2.7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μm</w:t>
      </w:r>
      <w:proofErr w:type="spellEnd"/>
      <w:r w:rsidR="00644C3E" w:rsidRPr="00974239">
        <w:rPr>
          <w:rFonts w:cs="Times New Roman"/>
        </w:rPr>
        <w:t>) at 55°C. Mobile phases consisting 10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mM</w:t>
      </w:r>
      <w:proofErr w:type="spellEnd"/>
      <w:r w:rsidR="00644C3E" w:rsidRPr="00974239">
        <w:rPr>
          <w:rFonts w:cs="Times New Roman"/>
        </w:rPr>
        <w:t xml:space="preserve"> ammonium </w:t>
      </w:r>
      <w:proofErr w:type="spellStart"/>
      <w:r w:rsidR="00644C3E" w:rsidRPr="00974239">
        <w:rPr>
          <w:rFonts w:cs="Times New Roman"/>
        </w:rPr>
        <w:t>formate</w:t>
      </w:r>
      <w:proofErr w:type="spellEnd"/>
      <w:r w:rsidR="00644C3E" w:rsidRPr="00974239">
        <w:rPr>
          <w:rFonts w:cs="Times New Roman"/>
        </w:rPr>
        <w:t xml:space="preserve"> in water (A) and 10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mM</w:t>
      </w:r>
      <w:proofErr w:type="spellEnd"/>
      <w:r w:rsidR="00644C3E" w:rsidRPr="00974239">
        <w:rPr>
          <w:rFonts w:cs="Times New Roman"/>
        </w:rPr>
        <w:t xml:space="preserve"> ammonium </w:t>
      </w:r>
      <w:proofErr w:type="spellStart"/>
      <w:r w:rsidR="00644C3E" w:rsidRPr="00974239">
        <w:rPr>
          <w:rFonts w:cs="Times New Roman"/>
        </w:rPr>
        <w:t>formate</w:t>
      </w:r>
      <w:proofErr w:type="spellEnd"/>
      <w:r w:rsidR="00644C3E" w:rsidRPr="00974239">
        <w:rPr>
          <w:rFonts w:cs="Times New Roman"/>
        </w:rPr>
        <w:t xml:space="preserve"> in methanol (B) were employed</w:t>
      </w:r>
      <w:r w:rsidR="00B14D37" w:rsidRPr="00974239">
        <w:rPr>
          <w:rFonts w:cs="Times New Roman"/>
        </w:rPr>
        <w:t>,</w:t>
      </w:r>
      <w:r w:rsidR="00644C3E" w:rsidRPr="00974239">
        <w:rPr>
          <w:rFonts w:cs="Times New Roman"/>
        </w:rPr>
        <w:t xml:space="preserve"> </w:t>
      </w:r>
      <w:r w:rsidR="00B14D37" w:rsidRPr="00974239">
        <w:rPr>
          <w:rFonts w:cs="Times New Roman"/>
        </w:rPr>
        <w:t>w</w:t>
      </w:r>
      <w:r w:rsidR="00644C3E" w:rsidRPr="00974239">
        <w:rPr>
          <w:rFonts w:cs="Times New Roman"/>
        </w:rPr>
        <w:t>ith flow-rate of 0.5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mL/min</w:t>
      </w:r>
      <w:r w:rsidR="00B14D37" w:rsidRPr="00974239">
        <w:rPr>
          <w:rFonts w:cs="Times New Roman"/>
        </w:rPr>
        <w:t>,</w:t>
      </w:r>
      <w:r w:rsidR="00644C3E" w:rsidRPr="00974239">
        <w:rPr>
          <w:rFonts w:cs="Times New Roman"/>
        </w:rPr>
        <w:t xml:space="preserve"> </w:t>
      </w:r>
      <w:r w:rsidR="00B14D37" w:rsidRPr="00974239">
        <w:rPr>
          <w:rFonts w:cs="Times New Roman"/>
        </w:rPr>
        <w:t>A</w:t>
      </w:r>
      <w:r w:rsidR="00644C3E" w:rsidRPr="00974239">
        <w:rPr>
          <w:rFonts w:cs="Times New Roman"/>
        </w:rPr>
        <w:t xml:space="preserve"> gradient was established with 0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min (75% B), 23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min (96% B), 36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min (100% B), 42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min (100%</w:t>
      </w:r>
      <w:r w:rsidR="00B14D37" w:rsidRPr="00974239">
        <w:rPr>
          <w:rFonts w:cs="Times New Roman"/>
        </w:rPr>
        <w:t xml:space="preserve"> B</w:t>
      </w:r>
      <w:r w:rsidR="00644C3E" w:rsidRPr="00974239">
        <w:rPr>
          <w:rFonts w:cs="Times New Roman"/>
        </w:rPr>
        <w:t>) followed by 9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min column equilibration (75% B) prior to each injection. The MS was operated in the positive ion mode with a capillary voltage of 3.2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>kV and a cone voltage of 35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 xml:space="preserve">V. The </w:t>
      </w:r>
      <w:proofErr w:type="spellStart"/>
      <w:r w:rsidR="00644C3E" w:rsidRPr="00974239">
        <w:rPr>
          <w:rFonts w:cs="Times New Roman"/>
        </w:rPr>
        <w:t>desolvation</w:t>
      </w:r>
      <w:proofErr w:type="spellEnd"/>
      <w:r w:rsidR="00644C3E" w:rsidRPr="00974239">
        <w:rPr>
          <w:rFonts w:cs="Times New Roman"/>
        </w:rPr>
        <w:t xml:space="preserve"> gas flow was 800</w:t>
      </w:r>
      <w:r>
        <w:rPr>
          <w:rFonts w:cs="Times New Roman"/>
        </w:rPr>
        <w:t xml:space="preserve"> </w:t>
      </w:r>
      <w:r w:rsidR="00644C3E" w:rsidRPr="00974239">
        <w:rPr>
          <w:rFonts w:cs="Times New Roman"/>
        </w:rPr>
        <w:t xml:space="preserve">L/h and the source temperature was 120°C. All analyses were acquired using the lock spray to ensure accuracy and reproducibility. </w:t>
      </w:r>
      <w:proofErr w:type="spellStart"/>
      <w:r w:rsidR="00644C3E" w:rsidRPr="00974239">
        <w:rPr>
          <w:rFonts w:cs="Times New Roman"/>
        </w:rPr>
        <w:t>Leucine</w:t>
      </w:r>
      <w:proofErr w:type="spellEnd"/>
      <w:r w:rsidR="00644C3E" w:rsidRPr="00974239"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enkephalin</w:t>
      </w:r>
      <w:proofErr w:type="spellEnd"/>
      <w:r w:rsidR="00644C3E" w:rsidRPr="00974239">
        <w:rPr>
          <w:rFonts w:cs="Times New Roman"/>
        </w:rPr>
        <w:t xml:space="preserve"> was used as lock mass (m/z 556.27 and 278.11) at a concentration of 200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ng</w:t>
      </w:r>
      <w:proofErr w:type="spellEnd"/>
      <w:r w:rsidR="00644C3E" w:rsidRPr="00974239">
        <w:rPr>
          <w:rFonts w:cs="Times New Roman"/>
        </w:rPr>
        <w:t>/mL and a flow rate of 10</w:t>
      </w:r>
      <w:r>
        <w:rPr>
          <w:rFonts w:cs="Times New Roman"/>
        </w:rPr>
        <w:t xml:space="preserve"> </w:t>
      </w:r>
      <w:proofErr w:type="spellStart"/>
      <w:r w:rsidR="00644C3E" w:rsidRPr="00974239">
        <w:rPr>
          <w:rFonts w:cs="Times New Roman"/>
        </w:rPr>
        <w:t>μL</w:t>
      </w:r>
      <w:proofErr w:type="spellEnd"/>
      <w:r w:rsidR="00644C3E" w:rsidRPr="00974239">
        <w:rPr>
          <w:rFonts w:cs="Times New Roman"/>
        </w:rPr>
        <w:t xml:space="preserve">/min. Data were collected in the centroid mode over the mass range m/z 100–1000 with </w:t>
      </w:r>
      <w:r w:rsidR="00644C3E" w:rsidRPr="00974239">
        <w:rPr>
          <w:rFonts w:cs="Times New Roman"/>
        </w:rPr>
        <w:lastRenderedPageBreak/>
        <w:t xml:space="preserve">an acquisition time of 0.2 s </w:t>
      </w:r>
      <w:r w:rsidR="00B14D37" w:rsidRPr="00974239">
        <w:rPr>
          <w:rFonts w:cs="Times New Roman"/>
        </w:rPr>
        <w:t xml:space="preserve">per </w:t>
      </w:r>
      <w:r w:rsidR="00644C3E" w:rsidRPr="00974239">
        <w:rPr>
          <w:rFonts w:cs="Times New Roman"/>
        </w:rPr>
        <w:t>scan.</w:t>
      </w:r>
      <w:r w:rsidR="00644C3E" w:rsidRPr="00974239">
        <w:rPr>
          <w:rFonts w:cs="Times New Roman"/>
          <w:lang w:eastAsia="ko-KR"/>
        </w:rPr>
        <w:t xml:space="preserve"> </w:t>
      </w:r>
      <w:r w:rsidR="00644C3E" w:rsidRPr="00974239">
        <w:rPr>
          <w:rFonts w:cs="Times New Roman"/>
        </w:rPr>
        <w:t xml:space="preserve">Samples were analyzed in a randomized order with pooled plasma samples (Quality control (QC) samples) being analyzed after every 10 </w:t>
      </w:r>
      <w:r w:rsidR="00B14D37" w:rsidRPr="00974239">
        <w:rPr>
          <w:rFonts w:cs="Times New Roman"/>
        </w:rPr>
        <w:t>injections</w:t>
      </w:r>
      <w:r w:rsidR="00644C3E" w:rsidRPr="00974239">
        <w:rPr>
          <w:rFonts w:cs="Times New Roman"/>
        </w:rPr>
        <w:t>.</w:t>
      </w:r>
    </w:p>
    <w:p w14:paraId="197F2067" w14:textId="77777777" w:rsidR="00644C3E" w:rsidRPr="00974239" w:rsidRDefault="00644C3E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</w:p>
    <w:p w14:paraId="053153AE" w14:textId="77777777" w:rsidR="009B6D8B" w:rsidRPr="00974239" w:rsidRDefault="009B6D8B" w:rsidP="00974239">
      <w:pPr>
        <w:pStyle w:val="Heading2"/>
        <w:tabs>
          <w:tab w:val="left" w:pos="360"/>
        </w:tabs>
        <w:spacing w:before="0" w:after="0" w:line="480" w:lineRule="auto"/>
        <w:jc w:val="left"/>
        <w:rPr>
          <w:rFonts w:cs="Times New Roman"/>
          <w:sz w:val="24"/>
          <w:szCs w:val="24"/>
        </w:rPr>
        <w:sectPr w:rsidR="009B6D8B" w:rsidRPr="00974239" w:rsidSect="00974239"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</w:p>
    <w:p w14:paraId="4B47AA95" w14:textId="4C02971D" w:rsidR="00974239" w:rsidRDefault="00B550F5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 w:rsidRPr="00974239">
        <w:rPr>
          <w:rFonts w:cs="Times New Roman"/>
          <w:b/>
        </w:rPr>
        <w:lastRenderedPageBreak/>
        <w:t>S2</w:t>
      </w:r>
      <w:r w:rsidR="00FB7CD8" w:rsidRPr="00974239">
        <w:rPr>
          <w:rFonts w:cs="Times New Roman"/>
          <w:b/>
        </w:rPr>
        <w:t>.</w:t>
      </w:r>
      <w:r w:rsidRPr="00974239">
        <w:rPr>
          <w:rFonts w:cs="Times New Roman"/>
          <w:b/>
        </w:rPr>
        <w:t xml:space="preserve"> </w:t>
      </w:r>
      <w:proofErr w:type="gramStart"/>
      <w:r w:rsidRPr="00974239">
        <w:rPr>
          <w:rFonts w:cs="Times New Roman"/>
          <w:b/>
        </w:rPr>
        <w:t xml:space="preserve">Descriptive of </w:t>
      </w:r>
      <w:r w:rsidR="00974239">
        <w:rPr>
          <w:rFonts w:cs="Times New Roman"/>
          <w:b/>
        </w:rPr>
        <w:t>six C</w:t>
      </w:r>
      <w:r w:rsidRPr="00974239">
        <w:rPr>
          <w:rFonts w:cs="Times New Roman"/>
          <w:b/>
        </w:rPr>
        <w:t>eramides</w:t>
      </w:r>
      <w:r w:rsidR="00FB7CD8" w:rsidRPr="00974239">
        <w:rPr>
          <w:rFonts w:cs="Times New Roman"/>
          <w:b/>
        </w:rPr>
        <w:t xml:space="preserve"> and </w:t>
      </w:r>
      <w:r w:rsidR="00974239" w:rsidRPr="00974239">
        <w:rPr>
          <w:rFonts w:cs="Times New Roman"/>
          <w:b/>
        </w:rPr>
        <w:t>three</w:t>
      </w:r>
      <w:r w:rsidR="00FB7CD8" w:rsidRPr="00974239">
        <w:rPr>
          <w:rFonts w:cs="Times New Roman"/>
          <w:b/>
        </w:rPr>
        <w:t xml:space="preserve"> </w:t>
      </w:r>
      <w:proofErr w:type="spellStart"/>
      <w:r w:rsidR="00974239">
        <w:rPr>
          <w:b/>
        </w:rPr>
        <w:t>P</w:t>
      </w:r>
      <w:r w:rsidR="00974239" w:rsidRPr="00974239">
        <w:rPr>
          <w:b/>
        </w:rPr>
        <w:t>hosphatidylcholines</w:t>
      </w:r>
      <w:proofErr w:type="spellEnd"/>
      <w:r w:rsidR="00974239" w:rsidRPr="00974239">
        <w:rPr>
          <w:rFonts w:cs="Times New Roman"/>
          <w:b/>
        </w:rPr>
        <w:t xml:space="preserve"> (</w:t>
      </w:r>
      <w:r w:rsidR="00FB7CD8" w:rsidRPr="00974239">
        <w:rPr>
          <w:rFonts w:cs="Times New Roman"/>
          <w:b/>
        </w:rPr>
        <w:t>PCs</w:t>
      </w:r>
      <w:r w:rsidR="00974239">
        <w:rPr>
          <w:rFonts w:cs="Times New Roman"/>
          <w:b/>
        </w:rPr>
        <w:t>)</w:t>
      </w:r>
      <w:r w:rsidR="00FE360A" w:rsidRPr="00974239">
        <w:rPr>
          <w:rFonts w:cs="Times New Roman"/>
          <w:b/>
        </w:rPr>
        <w:t>.</w:t>
      </w:r>
      <w:proofErr w:type="gramEnd"/>
      <w:r w:rsidR="00FE360A" w:rsidRPr="00974239">
        <w:rPr>
          <w:rFonts w:cs="Times New Roman"/>
        </w:rPr>
        <w:t xml:space="preserve"> </w:t>
      </w:r>
    </w:p>
    <w:p w14:paraId="70D598C5" w14:textId="0ADDBE37" w:rsidR="007D6319" w:rsidRPr="00974239" w:rsidRDefault="00974239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>
        <w:rPr>
          <w:rFonts w:cs="Times New Roman"/>
        </w:rPr>
        <w:tab/>
      </w:r>
      <w:r w:rsidR="00FB7CD8" w:rsidRPr="00974239">
        <w:rPr>
          <w:rFonts w:cs="Times New Roman"/>
        </w:rPr>
        <w:t>Ceramide</w:t>
      </w:r>
      <w:r w:rsidR="00DC05B5" w:rsidRPr="00974239">
        <w:rPr>
          <w:rFonts w:cs="Times New Roman"/>
        </w:rPr>
        <w:t xml:space="preserve"> </w:t>
      </w:r>
      <w:r w:rsidR="00E357A5" w:rsidRPr="00974239">
        <w:rPr>
          <w:rFonts w:cs="Times New Roman"/>
        </w:rPr>
        <w:t xml:space="preserve">parent </w:t>
      </w:r>
      <w:r w:rsidR="00DC05B5" w:rsidRPr="00974239">
        <w:rPr>
          <w:rFonts w:cs="Times New Roman"/>
        </w:rPr>
        <w:t xml:space="preserve">molecular ion is </w:t>
      </w:r>
      <w:r w:rsidR="00E357A5" w:rsidRPr="00974239">
        <w:rPr>
          <w:rFonts w:cs="Times New Roman"/>
        </w:rPr>
        <w:t xml:space="preserve">in a form of </w:t>
      </w:r>
      <w:r w:rsidR="00DC05B5" w:rsidRPr="00974239">
        <w:rPr>
          <w:rFonts w:cs="Times New Roman"/>
        </w:rPr>
        <w:t>[M-H</w:t>
      </w:r>
      <w:r w:rsidR="00DC05B5" w:rsidRPr="00974239">
        <w:rPr>
          <w:rFonts w:cs="Times New Roman"/>
          <w:vertAlign w:val="subscript"/>
        </w:rPr>
        <w:t>2</w:t>
      </w:r>
      <w:r w:rsidR="00673417" w:rsidRPr="00974239">
        <w:rPr>
          <w:rFonts w:cs="Times New Roman"/>
        </w:rPr>
        <w:t>O+H]</w:t>
      </w:r>
      <w:r w:rsidR="00673417" w:rsidRPr="00974239">
        <w:rPr>
          <w:rFonts w:cs="Times New Roman"/>
          <w:vertAlign w:val="superscript"/>
        </w:rPr>
        <w:t>+</w:t>
      </w:r>
      <w:r w:rsidR="00673417" w:rsidRPr="00974239">
        <w:rPr>
          <w:rFonts w:cs="Times New Roman"/>
        </w:rPr>
        <w:t xml:space="preserve"> while fragment ion 264.</w:t>
      </w:r>
      <w:r w:rsidR="003C1F6E" w:rsidRPr="00974239">
        <w:rPr>
          <w:rFonts w:cs="Times New Roman"/>
        </w:rPr>
        <w:t>26</w:t>
      </w:r>
      <w:r w:rsidR="00770DFD" w:rsidRPr="00974239">
        <w:rPr>
          <w:rFonts w:cs="Times New Roman"/>
        </w:rPr>
        <w:t>Da</w:t>
      </w:r>
      <w:r w:rsidR="00673417" w:rsidRPr="00974239">
        <w:rPr>
          <w:rFonts w:cs="Times New Roman"/>
        </w:rPr>
        <w:t xml:space="preserve"> corresponds to </w:t>
      </w:r>
      <w:proofErr w:type="spellStart"/>
      <w:r w:rsidR="00673417" w:rsidRPr="00974239">
        <w:rPr>
          <w:rFonts w:cs="Times New Roman"/>
        </w:rPr>
        <w:t>sphingosine</w:t>
      </w:r>
      <w:proofErr w:type="spellEnd"/>
      <w:r w:rsidR="00673417" w:rsidRPr="00974239">
        <w:rPr>
          <w:rFonts w:cs="Times New Roman"/>
        </w:rPr>
        <w:t xml:space="preserve"> base chain.</w:t>
      </w:r>
      <w:r w:rsidRPr="00974239">
        <w:rPr>
          <w:rFonts w:cs="Times New Roman"/>
        </w:rPr>
        <w:t xml:space="preserve"> </w:t>
      </w:r>
      <w:proofErr w:type="spellStart"/>
      <w:r w:rsidR="00673417" w:rsidRPr="00974239">
        <w:rPr>
          <w:rFonts w:cs="Times New Roman"/>
        </w:rPr>
        <w:t>Phosphatidylcholine</w:t>
      </w:r>
      <w:proofErr w:type="spellEnd"/>
      <w:r w:rsidR="00673417" w:rsidRPr="00974239">
        <w:rPr>
          <w:rFonts w:cs="Times New Roman"/>
        </w:rPr>
        <w:t xml:space="preserve"> </w:t>
      </w:r>
      <w:r w:rsidR="00E357A5" w:rsidRPr="00974239">
        <w:rPr>
          <w:rFonts w:cs="Times New Roman"/>
        </w:rPr>
        <w:t xml:space="preserve">parent </w:t>
      </w:r>
      <w:r w:rsidR="00673417" w:rsidRPr="00974239">
        <w:rPr>
          <w:rFonts w:cs="Times New Roman"/>
        </w:rPr>
        <w:t xml:space="preserve">molecular </w:t>
      </w:r>
      <w:r w:rsidR="00770DFD" w:rsidRPr="00974239">
        <w:rPr>
          <w:rFonts w:cs="Times New Roman"/>
        </w:rPr>
        <w:t xml:space="preserve">ion is </w:t>
      </w:r>
      <w:r w:rsidR="00E357A5" w:rsidRPr="00974239">
        <w:rPr>
          <w:rFonts w:cs="Times New Roman"/>
        </w:rPr>
        <w:t xml:space="preserve">in a form of </w:t>
      </w:r>
      <w:r w:rsidR="00770DFD" w:rsidRPr="00974239">
        <w:rPr>
          <w:rFonts w:cs="Times New Roman"/>
        </w:rPr>
        <w:t>[M +H]+ while fragment ion 184.03D</w:t>
      </w:r>
      <w:r w:rsidR="003C1F6E" w:rsidRPr="00974239">
        <w:rPr>
          <w:rFonts w:cs="Times New Roman"/>
        </w:rPr>
        <w:t>a</w:t>
      </w:r>
      <w:r w:rsidR="00770DFD" w:rsidRPr="00974239">
        <w:rPr>
          <w:rFonts w:cs="Times New Roman"/>
        </w:rPr>
        <w:t xml:space="preserve"> corresponds to </w:t>
      </w:r>
      <w:proofErr w:type="spellStart"/>
      <w:r w:rsidR="00770DFD" w:rsidRPr="00974239">
        <w:rPr>
          <w:rFonts w:cs="Times New Roman"/>
        </w:rPr>
        <w:t>phosphocholine</w:t>
      </w:r>
      <w:proofErr w:type="spellEnd"/>
      <w:r w:rsidR="00770DFD" w:rsidRPr="00974239">
        <w:rPr>
          <w:rFonts w:cs="Times New Roman"/>
        </w:rPr>
        <w:t xml:space="preserve"> head group.</w:t>
      </w:r>
    </w:p>
    <w:tbl>
      <w:tblPr>
        <w:tblStyle w:val="TableGrid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"/>
        <w:gridCol w:w="3243"/>
        <w:gridCol w:w="1408"/>
        <w:gridCol w:w="1242"/>
        <w:gridCol w:w="18"/>
        <w:gridCol w:w="1530"/>
        <w:gridCol w:w="1620"/>
        <w:gridCol w:w="1800"/>
      </w:tblGrid>
      <w:tr w:rsidR="00974239" w:rsidRPr="00974239" w14:paraId="0E43406B" w14:textId="77777777" w:rsidTr="00974239">
        <w:trPr>
          <w:trHeight w:val="405"/>
        </w:trPr>
        <w:tc>
          <w:tcPr>
            <w:tcW w:w="3830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14:paraId="6B691EF9" w14:textId="5260F8F1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  <w:r w:rsidRPr="00974239">
              <w:rPr>
                <w:rFonts w:cs="Times New Roman"/>
              </w:rPr>
              <w:t>Lipid</w:t>
            </w:r>
          </w:p>
        </w:tc>
        <w:tc>
          <w:tcPr>
            <w:tcW w:w="2668" w:type="dxa"/>
            <w:gridSpan w:val="3"/>
            <w:tcBorders>
              <w:top w:val="single" w:sz="18" w:space="0" w:color="auto"/>
            </w:tcBorders>
            <w:vAlign w:val="center"/>
          </w:tcPr>
          <w:p w14:paraId="43302EDB" w14:textId="0D7B784C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Fatty acid</w:t>
            </w:r>
          </w:p>
        </w:tc>
        <w:tc>
          <w:tcPr>
            <w:tcW w:w="3150" w:type="dxa"/>
            <w:gridSpan w:val="2"/>
            <w:tcBorders>
              <w:top w:val="single" w:sz="18" w:space="0" w:color="auto"/>
            </w:tcBorders>
            <w:vAlign w:val="center"/>
          </w:tcPr>
          <w:p w14:paraId="63DFDA41" w14:textId="169B30D8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proofErr w:type="gramStart"/>
            <w:r w:rsidRPr="00974239">
              <w:rPr>
                <w:rFonts w:cs="Times New Roman"/>
              </w:rPr>
              <w:t>m</w:t>
            </w:r>
            <w:proofErr w:type="gramEnd"/>
            <w:r w:rsidRPr="00974239">
              <w:rPr>
                <w:rFonts w:cs="Times New Roman"/>
              </w:rPr>
              <w:t>/z (Da)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</w:tcBorders>
            <w:vAlign w:val="center"/>
          </w:tcPr>
          <w:p w14:paraId="1DC4E328" w14:textId="6540308B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Retention Time (min)</w:t>
            </w:r>
          </w:p>
        </w:tc>
      </w:tr>
      <w:tr w:rsidR="00974239" w:rsidRPr="00974239" w14:paraId="269EF826" w14:textId="77777777" w:rsidTr="00974239">
        <w:trPr>
          <w:trHeight w:val="419"/>
        </w:trPr>
        <w:tc>
          <w:tcPr>
            <w:tcW w:w="3830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14:paraId="2BD48363" w14:textId="43C3899B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tcBorders>
              <w:bottom w:val="single" w:sz="18" w:space="0" w:color="auto"/>
            </w:tcBorders>
            <w:vAlign w:val="center"/>
          </w:tcPr>
          <w:p w14:paraId="12C13952" w14:textId="07CE3364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R’</w:t>
            </w:r>
          </w:p>
        </w:tc>
        <w:tc>
          <w:tcPr>
            <w:tcW w:w="1242" w:type="dxa"/>
            <w:tcBorders>
              <w:bottom w:val="single" w:sz="18" w:space="0" w:color="auto"/>
            </w:tcBorders>
            <w:vAlign w:val="center"/>
          </w:tcPr>
          <w:p w14:paraId="19C0B5CA" w14:textId="3BB067B6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R”</w:t>
            </w:r>
          </w:p>
        </w:tc>
        <w:tc>
          <w:tcPr>
            <w:tcW w:w="1548" w:type="dxa"/>
            <w:gridSpan w:val="2"/>
            <w:tcBorders>
              <w:bottom w:val="single" w:sz="18" w:space="0" w:color="auto"/>
            </w:tcBorders>
            <w:vAlign w:val="center"/>
          </w:tcPr>
          <w:p w14:paraId="110AC64D" w14:textId="0C96396E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Parent ion</w:t>
            </w:r>
          </w:p>
        </w:tc>
        <w:tc>
          <w:tcPr>
            <w:tcW w:w="1620" w:type="dxa"/>
            <w:tcBorders>
              <w:bottom w:val="single" w:sz="18" w:space="0" w:color="auto"/>
            </w:tcBorders>
            <w:vAlign w:val="center"/>
          </w:tcPr>
          <w:p w14:paraId="65662920" w14:textId="7A25E9FA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Precursor ion</w:t>
            </w:r>
          </w:p>
        </w:tc>
        <w:tc>
          <w:tcPr>
            <w:tcW w:w="1800" w:type="dxa"/>
            <w:vMerge/>
            <w:tcBorders>
              <w:bottom w:val="single" w:sz="18" w:space="0" w:color="auto"/>
            </w:tcBorders>
            <w:vAlign w:val="center"/>
          </w:tcPr>
          <w:p w14:paraId="1B449076" w14:textId="77777777" w:rsidR="00974239" w:rsidRPr="00974239" w:rsidRDefault="00974239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</w:p>
        </w:tc>
      </w:tr>
      <w:tr w:rsidR="00974239" w:rsidRPr="00974239" w14:paraId="67F978FC" w14:textId="77777777" w:rsidTr="00974239">
        <w:trPr>
          <w:trHeight w:hRule="exact" w:val="454"/>
        </w:trPr>
        <w:tc>
          <w:tcPr>
            <w:tcW w:w="587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14:paraId="68395F93" w14:textId="328925D6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Ceramide</w:t>
            </w:r>
          </w:p>
        </w:tc>
        <w:tc>
          <w:tcPr>
            <w:tcW w:w="3243" w:type="dxa"/>
            <w:vMerge w:val="restart"/>
            <w:tcBorders>
              <w:top w:val="single" w:sz="18" w:space="0" w:color="auto"/>
            </w:tcBorders>
            <w:vAlign w:val="center"/>
          </w:tcPr>
          <w:p w14:paraId="585F4946" w14:textId="433F47CD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  <w:r w:rsidRPr="00974239">
              <w:rPr>
                <w:rFonts w:cs="Times New Roman"/>
                <w:noProof/>
              </w:rPr>
              <w:drawing>
                <wp:inline distT="0" distB="0" distL="0" distR="0" wp14:anchorId="6DB2579D" wp14:editId="6DD82190">
                  <wp:extent cx="1600200" cy="94129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4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18" w:space="0" w:color="auto"/>
            </w:tcBorders>
            <w:vAlign w:val="center"/>
          </w:tcPr>
          <w:p w14:paraId="655671B0" w14:textId="3B5F1B98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16:0</w:t>
            </w:r>
          </w:p>
        </w:tc>
        <w:tc>
          <w:tcPr>
            <w:tcW w:w="1242" w:type="dxa"/>
            <w:tcBorders>
              <w:top w:val="single" w:sz="18" w:space="0" w:color="auto"/>
            </w:tcBorders>
            <w:vAlign w:val="center"/>
          </w:tcPr>
          <w:p w14:paraId="40544A39" w14:textId="71BCF705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-</w:t>
            </w:r>
          </w:p>
        </w:tc>
        <w:tc>
          <w:tcPr>
            <w:tcW w:w="1548" w:type="dxa"/>
            <w:gridSpan w:val="2"/>
            <w:tcBorders>
              <w:top w:val="single" w:sz="18" w:space="0" w:color="auto"/>
            </w:tcBorders>
            <w:vAlign w:val="center"/>
          </w:tcPr>
          <w:p w14:paraId="7CB04C03" w14:textId="28E64ED5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520.50</w:t>
            </w:r>
          </w:p>
        </w:tc>
        <w:tc>
          <w:tcPr>
            <w:tcW w:w="1620" w:type="dxa"/>
            <w:tcBorders>
              <w:top w:val="single" w:sz="18" w:space="0" w:color="auto"/>
            </w:tcBorders>
            <w:vAlign w:val="center"/>
          </w:tcPr>
          <w:p w14:paraId="12611118" w14:textId="507E6316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264.26</w:t>
            </w:r>
          </w:p>
        </w:tc>
        <w:tc>
          <w:tcPr>
            <w:tcW w:w="1800" w:type="dxa"/>
            <w:tcBorders>
              <w:top w:val="single" w:sz="18" w:space="0" w:color="auto"/>
            </w:tcBorders>
            <w:vAlign w:val="center"/>
          </w:tcPr>
          <w:p w14:paraId="30D97EE4" w14:textId="5AAD7E0C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15.5</w:t>
            </w:r>
          </w:p>
        </w:tc>
      </w:tr>
      <w:tr w:rsidR="00974239" w:rsidRPr="00974239" w14:paraId="78137BC1" w14:textId="77777777" w:rsidTr="00974239">
        <w:trPr>
          <w:trHeight w:hRule="exact" w:val="454"/>
        </w:trPr>
        <w:tc>
          <w:tcPr>
            <w:tcW w:w="587" w:type="dxa"/>
            <w:vMerge/>
            <w:textDirection w:val="btLr"/>
            <w:vAlign w:val="center"/>
          </w:tcPr>
          <w:p w14:paraId="399D9EEC" w14:textId="77777777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3243" w:type="dxa"/>
            <w:vMerge/>
            <w:vAlign w:val="center"/>
          </w:tcPr>
          <w:p w14:paraId="68A34E8F" w14:textId="7C1480C9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vAlign w:val="center"/>
          </w:tcPr>
          <w:p w14:paraId="5C09BD2F" w14:textId="4AB2729B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18:0</w:t>
            </w:r>
          </w:p>
        </w:tc>
        <w:tc>
          <w:tcPr>
            <w:tcW w:w="1242" w:type="dxa"/>
            <w:vAlign w:val="center"/>
          </w:tcPr>
          <w:p w14:paraId="7CAB89DD" w14:textId="795D6B21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-</w:t>
            </w:r>
          </w:p>
        </w:tc>
        <w:tc>
          <w:tcPr>
            <w:tcW w:w="1548" w:type="dxa"/>
            <w:gridSpan w:val="2"/>
            <w:vAlign w:val="center"/>
          </w:tcPr>
          <w:p w14:paraId="5BD4E2A9" w14:textId="71E3F459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548.54</w:t>
            </w:r>
          </w:p>
        </w:tc>
        <w:tc>
          <w:tcPr>
            <w:tcW w:w="1620" w:type="dxa"/>
            <w:vAlign w:val="center"/>
          </w:tcPr>
          <w:p w14:paraId="11086582" w14:textId="1BAC2AFF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264.26</w:t>
            </w:r>
          </w:p>
        </w:tc>
        <w:tc>
          <w:tcPr>
            <w:tcW w:w="1800" w:type="dxa"/>
            <w:vAlign w:val="center"/>
          </w:tcPr>
          <w:p w14:paraId="0A2AE63A" w14:textId="4CC9794F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17.2</w:t>
            </w:r>
          </w:p>
        </w:tc>
      </w:tr>
      <w:tr w:rsidR="00974239" w:rsidRPr="00974239" w14:paraId="7BDED260" w14:textId="77777777" w:rsidTr="00974239">
        <w:trPr>
          <w:trHeight w:hRule="exact" w:val="454"/>
        </w:trPr>
        <w:tc>
          <w:tcPr>
            <w:tcW w:w="587" w:type="dxa"/>
            <w:vMerge/>
            <w:textDirection w:val="btLr"/>
            <w:vAlign w:val="center"/>
          </w:tcPr>
          <w:p w14:paraId="2093DDF0" w14:textId="77777777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3243" w:type="dxa"/>
            <w:vMerge/>
            <w:vAlign w:val="center"/>
          </w:tcPr>
          <w:p w14:paraId="1E7F8DC2" w14:textId="6EE69FF8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vAlign w:val="center"/>
          </w:tcPr>
          <w:p w14:paraId="1E6DFBA8" w14:textId="33B4CACA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20:0</w:t>
            </w:r>
          </w:p>
        </w:tc>
        <w:tc>
          <w:tcPr>
            <w:tcW w:w="1242" w:type="dxa"/>
            <w:vAlign w:val="center"/>
          </w:tcPr>
          <w:p w14:paraId="7C5C2E00" w14:textId="0FE3DBFC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-</w:t>
            </w:r>
          </w:p>
        </w:tc>
        <w:tc>
          <w:tcPr>
            <w:tcW w:w="1548" w:type="dxa"/>
            <w:gridSpan w:val="2"/>
            <w:vAlign w:val="center"/>
          </w:tcPr>
          <w:p w14:paraId="775DAB42" w14:textId="1B95D98F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576.57</w:t>
            </w:r>
          </w:p>
        </w:tc>
        <w:tc>
          <w:tcPr>
            <w:tcW w:w="1620" w:type="dxa"/>
            <w:vAlign w:val="center"/>
          </w:tcPr>
          <w:p w14:paraId="5F800D84" w14:textId="36FA309C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264.26</w:t>
            </w:r>
          </w:p>
        </w:tc>
        <w:tc>
          <w:tcPr>
            <w:tcW w:w="1800" w:type="dxa"/>
            <w:vAlign w:val="center"/>
          </w:tcPr>
          <w:p w14:paraId="4E937B9C" w14:textId="683FBB91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18.9</w:t>
            </w:r>
          </w:p>
        </w:tc>
      </w:tr>
      <w:tr w:rsidR="00974239" w:rsidRPr="00974239" w14:paraId="12AD425E" w14:textId="77777777" w:rsidTr="00974239">
        <w:trPr>
          <w:trHeight w:hRule="exact" w:val="454"/>
        </w:trPr>
        <w:tc>
          <w:tcPr>
            <w:tcW w:w="587" w:type="dxa"/>
            <w:vMerge/>
            <w:textDirection w:val="btLr"/>
            <w:vAlign w:val="center"/>
          </w:tcPr>
          <w:p w14:paraId="5981EDB3" w14:textId="4434ABEF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3243" w:type="dxa"/>
            <w:vMerge/>
            <w:vAlign w:val="center"/>
          </w:tcPr>
          <w:p w14:paraId="2E39970D" w14:textId="63B608F1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vAlign w:val="center"/>
          </w:tcPr>
          <w:p w14:paraId="72649008" w14:textId="39D46E7E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22:0</w:t>
            </w:r>
          </w:p>
        </w:tc>
        <w:tc>
          <w:tcPr>
            <w:tcW w:w="1242" w:type="dxa"/>
            <w:vAlign w:val="center"/>
          </w:tcPr>
          <w:p w14:paraId="16F67998" w14:textId="41591544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-</w:t>
            </w:r>
          </w:p>
        </w:tc>
        <w:tc>
          <w:tcPr>
            <w:tcW w:w="1548" w:type="dxa"/>
            <w:gridSpan w:val="2"/>
            <w:vAlign w:val="center"/>
          </w:tcPr>
          <w:p w14:paraId="08A38B46" w14:textId="3AA409FB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604.60</w:t>
            </w:r>
          </w:p>
        </w:tc>
        <w:tc>
          <w:tcPr>
            <w:tcW w:w="1620" w:type="dxa"/>
            <w:vAlign w:val="center"/>
          </w:tcPr>
          <w:p w14:paraId="0522A1BF" w14:textId="37279E73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264.26</w:t>
            </w:r>
          </w:p>
        </w:tc>
        <w:tc>
          <w:tcPr>
            <w:tcW w:w="1800" w:type="dxa"/>
            <w:vAlign w:val="center"/>
          </w:tcPr>
          <w:p w14:paraId="1CA3E166" w14:textId="5ADF30B7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20.3</w:t>
            </w:r>
          </w:p>
        </w:tc>
      </w:tr>
      <w:tr w:rsidR="00974239" w:rsidRPr="00974239" w14:paraId="7F2B6816" w14:textId="77777777" w:rsidTr="00974239">
        <w:trPr>
          <w:trHeight w:hRule="exact" w:val="454"/>
        </w:trPr>
        <w:tc>
          <w:tcPr>
            <w:tcW w:w="587" w:type="dxa"/>
            <w:vMerge/>
            <w:textDirection w:val="btLr"/>
            <w:vAlign w:val="center"/>
          </w:tcPr>
          <w:p w14:paraId="64DEC781" w14:textId="77777777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3243" w:type="dxa"/>
            <w:vMerge/>
            <w:vAlign w:val="center"/>
          </w:tcPr>
          <w:p w14:paraId="1BD7C99F" w14:textId="6888D84C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vAlign w:val="center"/>
          </w:tcPr>
          <w:p w14:paraId="405E9873" w14:textId="259F99B6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24:0</w:t>
            </w:r>
          </w:p>
        </w:tc>
        <w:tc>
          <w:tcPr>
            <w:tcW w:w="1242" w:type="dxa"/>
            <w:vAlign w:val="center"/>
          </w:tcPr>
          <w:p w14:paraId="080B5CC1" w14:textId="21A520A6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-</w:t>
            </w:r>
          </w:p>
        </w:tc>
        <w:tc>
          <w:tcPr>
            <w:tcW w:w="1548" w:type="dxa"/>
            <w:gridSpan w:val="2"/>
            <w:vAlign w:val="center"/>
          </w:tcPr>
          <w:p w14:paraId="36F21DF3" w14:textId="58574E83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632.62</w:t>
            </w:r>
          </w:p>
        </w:tc>
        <w:tc>
          <w:tcPr>
            <w:tcW w:w="1620" w:type="dxa"/>
            <w:vAlign w:val="center"/>
          </w:tcPr>
          <w:p w14:paraId="0173B1D9" w14:textId="05F66A16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264.26</w:t>
            </w:r>
          </w:p>
        </w:tc>
        <w:tc>
          <w:tcPr>
            <w:tcW w:w="1800" w:type="dxa"/>
            <w:vAlign w:val="center"/>
          </w:tcPr>
          <w:p w14:paraId="4E7A78A5" w14:textId="05D80416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21.6</w:t>
            </w:r>
          </w:p>
        </w:tc>
      </w:tr>
      <w:tr w:rsidR="00974239" w:rsidRPr="00974239" w14:paraId="4A437ACA" w14:textId="77777777" w:rsidTr="00974239">
        <w:trPr>
          <w:trHeight w:hRule="exact" w:val="454"/>
        </w:trPr>
        <w:tc>
          <w:tcPr>
            <w:tcW w:w="587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14:paraId="64BD9AD1" w14:textId="77777777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3243" w:type="dxa"/>
            <w:vMerge/>
            <w:tcBorders>
              <w:bottom w:val="single" w:sz="8" w:space="0" w:color="auto"/>
            </w:tcBorders>
            <w:vAlign w:val="center"/>
          </w:tcPr>
          <w:p w14:paraId="3F45091B" w14:textId="51988F48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tcBorders>
              <w:bottom w:val="single" w:sz="8" w:space="0" w:color="auto"/>
            </w:tcBorders>
            <w:vAlign w:val="center"/>
          </w:tcPr>
          <w:p w14:paraId="567B270D" w14:textId="76D8AEF5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24:1</w:t>
            </w:r>
          </w:p>
        </w:tc>
        <w:tc>
          <w:tcPr>
            <w:tcW w:w="1242" w:type="dxa"/>
            <w:tcBorders>
              <w:bottom w:val="single" w:sz="8" w:space="0" w:color="auto"/>
            </w:tcBorders>
            <w:vAlign w:val="center"/>
          </w:tcPr>
          <w:p w14:paraId="4D95FA2F" w14:textId="56E2440A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-</w:t>
            </w:r>
          </w:p>
        </w:tc>
        <w:tc>
          <w:tcPr>
            <w:tcW w:w="1548" w:type="dxa"/>
            <w:gridSpan w:val="2"/>
            <w:tcBorders>
              <w:bottom w:val="single" w:sz="8" w:space="0" w:color="auto"/>
            </w:tcBorders>
            <w:vAlign w:val="center"/>
          </w:tcPr>
          <w:p w14:paraId="0DABBC76" w14:textId="4CD2492C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630.60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center"/>
          </w:tcPr>
          <w:p w14:paraId="1069B71D" w14:textId="59508C55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264.26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center"/>
          </w:tcPr>
          <w:p w14:paraId="42A28882" w14:textId="0AB209E6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20.2</w:t>
            </w:r>
          </w:p>
        </w:tc>
      </w:tr>
      <w:tr w:rsidR="00974239" w:rsidRPr="00974239" w14:paraId="37AE3653" w14:textId="77777777" w:rsidTr="00974239">
        <w:trPr>
          <w:trHeight w:hRule="exact" w:val="907"/>
        </w:trPr>
        <w:tc>
          <w:tcPr>
            <w:tcW w:w="587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14:paraId="02727684" w14:textId="482875F1" w:rsidR="00FC6881" w:rsidRPr="00974239" w:rsidRDefault="00F217EE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proofErr w:type="spellStart"/>
            <w:r w:rsidRPr="00974239">
              <w:rPr>
                <w:rFonts w:cs="Times New Roman"/>
              </w:rPr>
              <w:t>Phosphatidylcholine</w:t>
            </w:r>
            <w:proofErr w:type="spellEnd"/>
          </w:p>
        </w:tc>
        <w:tc>
          <w:tcPr>
            <w:tcW w:w="3243" w:type="dxa"/>
            <w:vMerge w:val="restart"/>
            <w:tcBorders>
              <w:top w:val="single" w:sz="8" w:space="0" w:color="auto"/>
            </w:tcBorders>
            <w:vAlign w:val="center"/>
          </w:tcPr>
          <w:p w14:paraId="6B3EFC8E" w14:textId="708A2981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  <w:r w:rsidRPr="00974239">
              <w:rPr>
                <w:rFonts w:cs="Times New Roman"/>
                <w:noProof/>
              </w:rPr>
              <w:drawing>
                <wp:inline distT="0" distB="0" distL="0" distR="0" wp14:anchorId="7A5A35A2" wp14:editId="776620B7">
                  <wp:extent cx="1143000" cy="136220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8" w:space="0" w:color="auto"/>
            </w:tcBorders>
            <w:vAlign w:val="center"/>
          </w:tcPr>
          <w:p w14:paraId="6A6BBA63" w14:textId="077E3263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20:5</w:t>
            </w:r>
          </w:p>
        </w:tc>
        <w:tc>
          <w:tcPr>
            <w:tcW w:w="1242" w:type="dxa"/>
            <w:tcBorders>
              <w:top w:val="single" w:sz="8" w:space="0" w:color="auto"/>
            </w:tcBorders>
            <w:vAlign w:val="center"/>
          </w:tcPr>
          <w:p w14:paraId="41DA49E5" w14:textId="70E53C09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16:0</w:t>
            </w:r>
          </w:p>
        </w:tc>
        <w:tc>
          <w:tcPr>
            <w:tcW w:w="1548" w:type="dxa"/>
            <w:gridSpan w:val="2"/>
            <w:tcBorders>
              <w:top w:val="single" w:sz="8" w:space="0" w:color="auto"/>
            </w:tcBorders>
            <w:vAlign w:val="center"/>
          </w:tcPr>
          <w:p w14:paraId="6E51BF8A" w14:textId="5543F8F2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780</w:t>
            </w:r>
            <w:r w:rsidR="002F4BBE" w:rsidRPr="00974239">
              <w:rPr>
                <w:rFonts w:cs="Times New Roman"/>
              </w:rPr>
              <w:t>.56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center"/>
          </w:tcPr>
          <w:p w14:paraId="512DF9CF" w14:textId="02247784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184.03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center"/>
          </w:tcPr>
          <w:p w14:paraId="6BD54A98" w14:textId="1A686C21" w:rsidR="002F4BBE" w:rsidRPr="00974239" w:rsidRDefault="002F4BBE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15.59</w:t>
            </w:r>
          </w:p>
        </w:tc>
      </w:tr>
      <w:tr w:rsidR="00974239" w:rsidRPr="00974239" w14:paraId="000CD726" w14:textId="77777777" w:rsidTr="00974239">
        <w:trPr>
          <w:trHeight w:hRule="exact" w:val="907"/>
        </w:trPr>
        <w:tc>
          <w:tcPr>
            <w:tcW w:w="587" w:type="dxa"/>
            <w:vMerge/>
            <w:vAlign w:val="center"/>
          </w:tcPr>
          <w:p w14:paraId="404815B4" w14:textId="76078AE5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43" w:type="dxa"/>
            <w:vMerge/>
            <w:vAlign w:val="center"/>
          </w:tcPr>
          <w:p w14:paraId="3166D03E" w14:textId="7C3960EB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vAlign w:val="center"/>
          </w:tcPr>
          <w:p w14:paraId="504F95F1" w14:textId="665C9D3F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22:6</w:t>
            </w:r>
          </w:p>
        </w:tc>
        <w:tc>
          <w:tcPr>
            <w:tcW w:w="1242" w:type="dxa"/>
            <w:vAlign w:val="center"/>
          </w:tcPr>
          <w:p w14:paraId="183819F7" w14:textId="369F7B99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18:0</w:t>
            </w:r>
          </w:p>
        </w:tc>
        <w:tc>
          <w:tcPr>
            <w:tcW w:w="1548" w:type="dxa"/>
            <w:gridSpan w:val="2"/>
            <w:vAlign w:val="center"/>
          </w:tcPr>
          <w:p w14:paraId="3B48E349" w14:textId="2BB2456A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806</w:t>
            </w:r>
            <w:r w:rsidR="002F4BBE" w:rsidRPr="00974239">
              <w:rPr>
                <w:rFonts w:cs="Times New Roman"/>
              </w:rPr>
              <w:t>.58</w:t>
            </w:r>
          </w:p>
        </w:tc>
        <w:tc>
          <w:tcPr>
            <w:tcW w:w="1620" w:type="dxa"/>
            <w:vAlign w:val="center"/>
          </w:tcPr>
          <w:p w14:paraId="76443717" w14:textId="4C09C63D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184.03</w:t>
            </w:r>
          </w:p>
        </w:tc>
        <w:tc>
          <w:tcPr>
            <w:tcW w:w="1800" w:type="dxa"/>
            <w:vAlign w:val="center"/>
          </w:tcPr>
          <w:p w14:paraId="320269D0" w14:textId="3308E80F" w:rsidR="00FC6881" w:rsidRPr="00974239" w:rsidRDefault="002F4BBE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16.42</w:t>
            </w:r>
          </w:p>
        </w:tc>
      </w:tr>
      <w:tr w:rsidR="00974239" w:rsidRPr="00974239" w14:paraId="28D7F30F" w14:textId="77777777" w:rsidTr="00974239">
        <w:trPr>
          <w:trHeight w:hRule="exact" w:val="907"/>
        </w:trPr>
        <w:tc>
          <w:tcPr>
            <w:tcW w:w="587" w:type="dxa"/>
            <w:vMerge/>
            <w:tcBorders>
              <w:bottom w:val="single" w:sz="18" w:space="0" w:color="auto"/>
            </w:tcBorders>
            <w:vAlign w:val="center"/>
          </w:tcPr>
          <w:p w14:paraId="3C189732" w14:textId="77777777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43" w:type="dxa"/>
            <w:vMerge/>
            <w:tcBorders>
              <w:bottom w:val="single" w:sz="18" w:space="0" w:color="auto"/>
            </w:tcBorders>
            <w:vAlign w:val="center"/>
          </w:tcPr>
          <w:p w14:paraId="2BA13F12" w14:textId="28756E63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408" w:type="dxa"/>
            <w:tcBorders>
              <w:bottom w:val="single" w:sz="18" w:space="0" w:color="auto"/>
            </w:tcBorders>
            <w:vAlign w:val="center"/>
          </w:tcPr>
          <w:p w14:paraId="63FD6FAD" w14:textId="2484653C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22:6</w:t>
            </w:r>
          </w:p>
        </w:tc>
        <w:tc>
          <w:tcPr>
            <w:tcW w:w="1242" w:type="dxa"/>
            <w:tcBorders>
              <w:bottom w:val="single" w:sz="18" w:space="0" w:color="auto"/>
            </w:tcBorders>
            <w:vAlign w:val="center"/>
          </w:tcPr>
          <w:p w14:paraId="0CB22D65" w14:textId="2B179125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18:0</w:t>
            </w:r>
          </w:p>
        </w:tc>
        <w:tc>
          <w:tcPr>
            <w:tcW w:w="1548" w:type="dxa"/>
            <w:gridSpan w:val="2"/>
            <w:tcBorders>
              <w:bottom w:val="single" w:sz="18" w:space="0" w:color="auto"/>
            </w:tcBorders>
            <w:vAlign w:val="center"/>
          </w:tcPr>
          <w:p w14:paraId="2A844499" w14:textId="711DC3C1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834</w:t>
            </w:r>
            <w:r w:rsidR="002F4BBE" w:rsidRPr="00974239">
              <w:rPr>
                <w:rFonts w:cs="Times New Roman"/>
              </w:rPr>
              <w:t>.61</w:t>
            </w:r>
          </w:p>
        </w:tc>
        <w:tc>
          <w:tcPr>
            <w:tcW w:w="1620" w:type="dxa"/>
            <w:tcBorders>
              <w:bottom w:val="single" w:sz="18" w:space="0" w:color="auto"/>
            </w:tcBorders>
            <w:vAlign w:val="center"/>
          </w:tcPr>
          <w:p w14:paraId="2F48714F" w14:textId="2E06F059" w:rsidR="00FC6881" w:rsidRPr="00974239" w:rsidRDefault="00FC6881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184.03</w:t>
            </w:r>
          </w:p>
        </w:tc>
        <w:tc>
          <w:tcPr>
            <w:tcW w:w="1800" w:type="dxa"/>
            <w:tcBorders>
              <w:bottom w:val="single" w:sz="18" w:space="0" w:color="auto"/>
            </w:tcBorders>
            <w:vAlign w:val="center"/>
          </w:tcPr>
          <w:p w14:paraId="092FA15E" w14:textId="77BB5885" w:rsidR="00FC6881" w:rsidRPr="00974239" w:rsidRDefault="002F4BBE" w:rsidP="00974239">
            <w:pPr>
              <w:tabs>
                <w:tab w:val="left" w:pos="360"/>
              </w:tabs>
              <w:spacing w:line="240" w:lineRule="auto"/>
              <w:jc w:val="center"/>
              <w:rPr>
                <w:rFonts w:cs="Times New Roman"/>
              </w:rPr>
            </w:pPr>
            <w:r w:rsidRPr="00974239">
              <w:rPr>
                <w:rFonts w:cs="Times New Roman"/>
              </w:rPr>
              <w:t>18.07</w:t>
            </w:r>
          </w:p>
        </w:tc>
      </w:tr>
    </w:tbl>
    <w:p w14:paraId="375D4EFC" w14:textId="77D70098" w:rsidR="00F217EE" w:rsidRPr="00974239" w:rsidRDefault="00F217EE" w:rsidP="00974239">
      <w:pPr>
        <w:tabs>
          <w:tab w:val="left" w:pos="360"/>
        </w:tabs>
        <w:spacing w:line="480" w:lineRule="auto"/>
        <w:jc w:val="left"/>
        <w:rPr>
          <w:rFonts w:cs="Times New Roman"/>
          <w:lang w:eastAsia="ko-KR"/>
        </w:rPr>
        <w:sectPr w:rsidR="00F217EE" w:rsidRPr="00974239" w:rsidSect="00974239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  <w:proofErr w:type="gramStart"/>
      <w:r w:rsidRPr="00974239">
        <w:rPr>
          <w:rFonts w:cs="Times New Roman"/>
          <w:lang w:eastAsia="ko-KR"/>
        </w:rPr>
        <w:t>m</w:t>
      </w:r>
      <w:proofErr w:type="gramEnd"/>
      <w:r w:rsidRPr="00974239">
        <w:rPr>
          <w:rFonts w:cs="Times New Roman"/>
          <w:lang w:eastAsia="ko-KR"/>
        </w:rPr>
        <w:t>/z, mass charge ratio;</w:t>
      </w:r>
      <w:r w:rsidR="00770DFD" w:rsidRPr="00974239">
        <w:rPr>
          <w:rFonts w:cs="Times New Roman"/>
          <w:lang w:eastAsia="ko-KR"/>
        </w:rPr>
        <w:t xml:space="preserve"> min, minutes.</w:t>
      </w:r>
    </w:p>
    <w:p w14:paraId="3045F55B" w14:textId="41E7FD9F" w:rsidR="00054DFF" w:rsidRPr="00974239" w:rsidRDefault="00F26EF8" w:rsidP="00974239">
      <w:pPr>
        <w:pStyle w:val="Heading2"/>
        <w:tabs>
          <w:tab w:val="left" w:pos="360"/>
        </w:tabs>
        <w:spacing w:before="0" w:after="0" w:line="480" w:lineRule="auto"/>
        <w:jc w:val="left"/>
        <w:rPr>
          <w:rFonts w:cs="Times New Roman"/>
          <w:sz w:val="24"/>
          <w:szCs w:val="24"/>
        </w:rPr>
      </w:pPr>
      <w:r w:rsidRPr="00974239">
        <w:rPr>
          <w:rFonts w:cs="Times New Roman"/>
          <w:sz w:val="24"/>
          <w:szCs w:val="24"/>
        </w:rPr>
        <w:lastRenderedPageBreak/>
        <w:t>S</w:t>
      </w:r>
      <w:r w:rsidR="0042646E" w:rsidRPr="00974239">
        <w:rPr>
          <w:rFonts w:cs="Times New Roman"/>
          <w:sz w:val="24"/>
          <w:szCs w:val="24"/>
        </w:rPr>
        <w:t>3</w:t>
      </w:r>
      <w:r w:rsidR="00974239">
        <w:rPr>
          <w:rFonts w:cs="Times New Roman"/>
          <w:sz w:val="24"/>
          <w:szCs w:val="24"/>
        </w:rPr>
        <w:t>.</w:t>
      </w:r>
      <w:r w:rsidR="00054DFF" w:rsidRPr="00974239">
        <w:rPr>
          <w:rFonts w:cs="Times New Roman"/>
          <w:sz w:val="24"/>
          <w:szCs w:val="24"/>
        </w:rPr>
        <w:t xml:space="preserve"> </w:t>
      </w:r>
      <w:r w:rsidR="009B6596" w:rsidRPr="00974239">
        <w:rPr>
          <w:rFonts w:cs="Times New Roman"/>
          <w:sz w:val="24"/>
          <w:szCs w:val="24"/>
        </w:rPr>
        <w:t xml:space="preserve">Methodologies of </w:t>
      </w:r>
      <w:r w:rsidR="00054DFF" w:rsidRPr="00974239">
        <w:rPr>
          <w:rFonts w:cs="Times New Roman"/>
          <w:sz w:val="24"/>
          <w:szCs w:val="24"/>
        </w:rPr>
        <w:t>Statistical Analys</w:t>
      </w:r>
      <w:r w:rsidR="009B6596" w:rsidRPr="00974239">
        <w:rPr>
          <w:rFonts w:cs="Times New Roman"/>
          <w:sz w:val="24"/>
          <w:szCs w:val="24"/>
        </w:rPr>
        <w:t>e</w:t>
      </w:r>
      <w:r w:rsidR="00054DFF" w:rsidRPr="00974239">
        <w:rPr>
          <w:rFonts w:cs="Times New Roman"/>
          <w:sz w:val="24"/>
          <w:szCs w:val="24"/>
        </w:rPr>
        <w:t>s</w:t>
      </w:r>
    </w:p>
    <w:p w14:paraId="06E2622E" w14:textId="46C4BDB3" w:rsidR="00054DFF" w:rsidRDefault="00974239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>
        <w:rPr>
          <w:rFonts w:cs="Times New Roman"/>
        </w:rPr>
        <w:tab/>
      </w:r>
      <w:r w:rsidR="00054DFF" w:rsidRPr="00974239">
        <w:rPr>
          <w:rFonts w:cs="Times New Roman"/>
        </w:rPr>
        <w:t>Nine lipids (6 ceramides and 3 PCs) were analyzed with three independent methods: linear models, factor analysis</w:t>
      </w:r>
      <w:r>
        <w:rPr>
          <w:rFonts w:cs="Times New Roman"/>
        </w:rPr>
        <w:t>,</w:t>
      </w:r>
      <w:r w:rsidR="00054DFF" w:rsidRPr="00974239">
        <w:rPr>
          <w:rFonts w:cs="Times New Roman"/>
        </w:rPr>
        <w:t xml:space="preserve"> and time analysis. All three methods are multivariate by definition; control </w:t>
      </w:r>
      <w:r w:rsidR="00D16F42" w:rsidRPr="00974239">
        <w:rPr>
          <w:rFonts w:cs="Times New Roman"/>
        </w:rPr>
        <w:t>for confounding factors</w:t>
      </w:r>
      <w:r w:rsidR="00054DFF" w:rsidRPr="00974239">
        <w:rPr>
          <w:rFonts w:cs="Times New Roman"/>
        </w:rPr>
        <w:t xml:space="preserve"> (batch effect, center of origin of each sample, gender, age, APOE status</w:t>
      </w:r>
      <w:r>
        <w:rPr>
          <w:rFonts w:cs="Times New Roman"/>
        </w:rPr>
        <w:t>,</w:t>
      </w:r>
      <w:r w:rsidR="00054DFF" w:rsidRPr="00974239">
        <w:rPr>
          <w:rFonts w:cs="Times New Roman"/>
        </w:rPr>
        <w:t xml:space="preserve"> and sensitivity variability due to instrument); and focus on detecting dependencies between the lipid levels and demographic variables (APOE allele, AD diagnosis</w:t>
      </w:r>
      <w:r>
        <w:rPr>
          <w:rFonts w:cs="Times New Roman"/>
        </w:rPr>
        <w:t>,</w:t>
      </w:r>
      <w:r w:rsidR="00054DFF" w:rsidRPr="00974239">
        <w:rPr>
          <w:rFonts w:cs="Times New Roman"/>
        </w:rPr>
        <w:t xml:space="preserve"> and brain atrophy).</w:t>
      </w:r>
    </w:p>
    <w:p w14:paraId="04AE68E7" w14:textId="77777777" w:rsidR="00974239" w:rsidRPr="00974239" w:rsidRDefault="00974239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</w:p>
    <w:p w14:paraId="35DD2214" w14:textId="698A7228" w:rsidR="00054DFF" w:rsidRPr="00974239" w:rsidRDefault="00054DFF" w:rsidP="00974239">
      <w:pPr>
        <w:pStyle w:val="Heading3"/>
        <w:tabs>
          <w:tab w:val="left" w:pos="360"/>
        </w:tabs>
        <w:spacing w:before="0" w:after="0" w:line="480" w:lineRule="auto"/>
        <w:jc w:val="left"/>
        <w:rPr>
          <w:rFonts w:cs="Times New Roman"/>
          <w:b w:val="0"/>
          <w:i/>
        </w:rPr>
      </w:pPr>
      <w:r w:rsidRPr="00974239">
        <w:rPr>
          <w:rFonts w:cs="Times New Roman"/>
          <w:b w:val="0"/>
          <w:i/>
        </w:rPr>
        <w:t xml:space="preserve">Generalized </w:t>
      </w:r>
      <w:r w:rsidR="00974239" w:rsidRPr="00974239">
        <w:rPr>
          <w:rFonts w:cs="Times New Roman"/>
          <w:b w:val="0"/>
          <w:i/>
        </w:rPr>
        <w:t>linear model</w:t>
      </w:r>
    </w:p>
    <w:p w14:paraId="7F7128E9" w14:textId="7DB27FF5" w:rsidR="00054DFF" w:rsidRPr="00974239" w:rsidRDefault="00974239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>
        <w:rPr>
          <w:rFonts w:cs="Times New Roman"/>
        </w:rPr>
        <w:tab/>
      </w:r>
      <w:r w:rsidR="00054DFF" w:rsidRPr="00974239">
        <w:rPr>
          <w:rFonts w:cs="Times New Roman"/>
        </w:rPr>
        <w:t>Given a number of demographic variables (denoted ‘</w:t>
      </w:r>
      <m:oMath>
        <m:r>
          <w:rPr>
            <w:rFonts w:ascii="Cambria Math" w:hAnsi="Cambria Math" w:cs="Times New Roman"/>
          </w:rPr>
          <m:t>d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Cambria Math"/>
              </w:rPr>
              <m:t>j</m:t>
            </m:r>
          </m:e>
        </m:d>
      </m:oMath>
      <w:r w:rsidR="00054DFF" w:rsidRPr="00974239">
        <w:rPr>
          <w:rFonts w:cs="Times New Roman"/>
        </w:rPr>
        <w:t xml:space="preserve">’ for </w:t>
      </w:r>
      <w:r w:rsidR="00054DFF" w:rsidRPr="00974239">
        <w:rPr>
          <w:rFonts w:cs="Times New Roman"/>
          <w:i/>
        </w:rPr>
        <w:t>j = 1, 2, 3…N</w:t>
      </w:r>
      <w:r w:rsidR="00054DFF" w:rsidRPr="00974239">
        <w:rPr>
          <w:rFonts w:cs="Times New Roman"/>
        </w:rPr>
        <w:t>) and a number of lipids (denoted ‘</w:t>
      </w:r>
      <m:oMath>
        <m:r>
          <w:rPr>
            <w:rFonts w:ascii="Cambria Math" w:hAnsi="Cambria Math" w:cs="Times New Roman"/>
          </w:rPr>
          <m:t>l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i</m:t>
            </m:r>
          </m:e>
        </m:d>
      </m:oMath>
      <w:r w:rsidR="00054DFF" w:rsidRPr="00974239">
        <w:rPr>
          <w:rFonts w:cs="Times New Roman"/>
          <w:i/>
        </w:rPr>
        <w:t>)</w:t>
      </w:r>
      <w:r w:rsidR="00054DFF" w:rsidRPr="00974239">
        <w:rPr>
          <w:rFonts w:cs="Times New Roman"/>
        </w:rPr>
        <w:t xml:space="preserve">’ for </w:t>
      </w:r>
      <w:proofErr w:type="spellStart"/>
      <w:r w:rsidR="00054DFF" w:rsidRPr="00974239">
        <w:rPr>
          <w:rFonts w:cs="Times New Roman"/>
          <w:i/>
        </w:rPr>
        <w:t>i</w:t>
      </w:r>
      <w:proofErr w:type="spellEnd"/>
      <w:r w:rsidR="00054DFF" w:rsidRPr="00974239">
        <w:rPr>
          <w:rFonts w:cs="Times New Roman"/>
          <w:i/>
        </w:rPr>
        <w:t xml:space="preserve"> = 1, 2, 3…</w:t>
      </w:r>
      <w:r w:rsidR="00054DFF" w:rsidRPr="00974239">
        <w:rPr>
          <w:rFonts w:cs="Times New Roman"/>
        </w:rPr>
        <w:t xml:space="preserve">), we systematically built </w:t>
      </w:r>
      <w:r w:rsidRPr="00974239">
        <w:rPr>
          <w:rFonts w:cs="Times New Roman"/>
        </w:rPr>
        <w:t xml:space="preserve">generalized linear models </w:t>
      </w:r>
      <w:r w:rsidR="00054DFF" w:rsidRPr="00974239">
        <w:rPr>
          <w:rFonts w:cs="Times New Roman"/>
        </w:rPr>
        <w:t>(GLM) to test for effects on each demographic due to each lipid. These models also included the previously mentioned contamination sources to control for their effects. Mathematically, given a demographic ‘</w:t>
      </w:r>
      <m:oMath>
        <m:r>
          <w:rPr>
            <w:rFonts w:ascii="Cambria Math" w:hAnsi="Cambria Math" w:cs="Times New Roman"/>
          </w:rPr>
          <m:t>d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j</m:t>
            </m:r>
          </m:e>
        </m:d>
      </m:oMath>
      <w:r w:rsidR="00054DFF" w:rsidRPr="00974239">
        <w:rPr>
          <w:rFonts w:cs="Times New Roman"/>
        </w:rPr>
        <w:t>’ and a lipid ‘</w:t>
      </w:r>
      <m:oMath>
        <m:r>
          <w:rPr>
            <w:rFonts w:ascii="Cambria Math" w:hAnsi="Cambria Math" w:cs="Times New Roman"/>
          </w:rPr>
          <m:t>l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i</m:t>
            </m:r>
          </m:e>
        </m:d>
      </m:oMath>
      <w:r w:rsidR="00054DFF" w:rsidRPr="00974239">
        <w:rPr>
          <w:rFonts w:cs="Times New Roman"/>
        </w:rPr>
        <w:t>’, their corresponding GLM found the values of a series of unknown parameters (</w:t>
      </w:r>
      <w:r w:rsidR="00054DFF" w:rsidRPr="00974239">
        <w:rPr>
          <w:rFonts w:cs="Times New Roman"/>
          <w:i/>
        </w:rPr>
        <w:t>β</w:t>
      </w:r>
      <w:r w:rsidR="00054DFF" w:rsidRPr="00974239">
        <w:rPr>
          <w:rFonts w:cs="Times New Roman"/>
          <w:i/>
          <w:vertAlign w:val="subscript"/>
        </w:rPr>
        <w:t>k</w:t>
      </w:r>
      <w:r w:rsidR="00054DFF" w:rsidRPr="00974239">
        <w:rPr>
          <w:rFonts w:cs="Times New Roman"/>
        </w:rPr>
        <w:t xml:space="preserve">, with </w:t>
      </w:r>
      <w:r w:rsidR="00054DFF" w:rsidRPr="00974239">
        <w:rPr>
          <w:rFonts w:cs="Times New Roman"/>
          <w:i/>
        </w:rPr>
        <w:t xml:space="preserve">k </w:t>
      </w:r>
      <w:r w:rsidRPr="00974239">
        <w:rPr>
          <w:rFonts w:cs="Times New Roman" w:hint="eastAsia"/>
          <w:i/>
        </w:rPr>
        <w:t>∈</w:t>
      </w:r>
      <w:r w:rsidR="00444BEA" w:rsidRPr="00974239">
        <w:rPr>
          <w:rFonts w:cs="Times New Roman"/>
          <w:i/>
        </w:rPr>
        <w:t xml:space="preserve"> {</w:t>
      </w:r>
      <w:r w:rsidR="00054DFF" w:rsidRPr="00974239">
        <w:rPr>
          <w:rFonts w:cs="Times New Roman"/>
          <w:i/>
        </w:rPr>
        <w:t>b, c, g, a, s, d, p</w:t>
      </w:r>
      <w:r w:rsidR="00444BEA" w:rsidRPr="00974239">
        <w:rPr>
          <w:rFonts w:cs="Times New Roman"/>
          <w:i/>
        </w:rPr>
        <w:t>}</w:t>
      </w:r>
      <w:r w:rsidR="00054DFF" w:rsidRPr="00974239">
        <w:rPr>
          <w:rFonts w:cs="Times New Roman"/>
          <w:i/>
        </w:rPr>
        <w:t>)</w:t>
      </w:r>
      <w:r w:rsidR="00054DFF" w:rsidRPr="00974239">
        <w:rPr>
          <w:rFonts w:cs="Times New Roman"/>
        </w:rPr>
        <w:t xml:space="preserve"> that minimized the error term in the following equation:</w:t>
      </w:r>
    </w:p>
    <w:p w14:paraId="333B7612" w14:textId="77777777" w:rsidR="00054DFF" w:rsidRPr="00974239" w:rsidRDefault="00054DFF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</w:p>
    <w:p w14:paraId="0B2D5B19" w14:textId="77777777" w:rsidR="00054DFF" w:rsidRPr="00974239" w:rsidRDefault="00054DFF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m:oMathPara>
        <m:oMath>
          <m:r>
            <w:rPr>
              <w:rFonts w:ascii="Cambria Math" w:hAnsi="Cambria Math" w:cs="Times New Roman"/>
            </w:rPr>
            <m:t>l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i</m:t>
              </m:r>
            </m:e>
          </m:d>
          <m:r>
            <m:rPr>
              <m:sty m:val="p"/>
            </m:rPr>
            <w:rPr>
              <w:rFonts w:ascii="Cambria Math" w:eastAsia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β</m:t>
              </m:r>
            </m:e>
            <m:sub>
              <m:r>
                <w:rPr>
                  <w:rFonts w:ascii="Cambria Math" w:hAnsi="Cambria Math" w:cs="Times New Roman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·</m:t>
          </m:r>
          <m:r>
            <w:rPr>
              <w:rFonts w:ascii="Cambria Math" w:hAnsi="Cambria Math" w:cs="Times New Roman"/>
            </w:rPr>
            <m:t>d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j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β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·</m:t>
          </m:r>
          <m:r>
            <w:rPr>
              <w:rFonts w:ascii="Cambria Math" w:hAnsi="Cambria Math" w:cs="Times New Roman"/>
            </w:rPr>
            <m:t>batch</m:t>
          </m:r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β</m:t>
              </m:r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·</m:t>
          </m:r>
          <m:r>
            <w:rPr>
              <w:rFonts w:ascii="Cambria Math" w:hAnsi="Cambria Math" w:cs="Times New Roman"/>
            </w:rPr>
            <m:t>centre</m:t>
          </m:r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β</m:t>
              </m:r>
            </m:e>
            <m:sub>
              <m:r>
                <w:rPr>
                  <w:rFonts w:ascii="Cambria Math" w:hAnsi="Cambria Math" w:cs="Times New Roman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·</m:t>
          </m:r>
          <m:r>
            <w:rPr>
              <w:rFonts w:ascii="Cambria Math" w:hAnsi="Cambria Math" w:cs="Times New Roman"/>
            </w:rPr>
            <m:t>gender</m:t>
          </m:r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β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·</m:t>
          </m:r>
          <m:r>
            <w:rPr>
              <w:rFonts w:ascii="Cambria Math" w:hAnsi="Cambria Math" w:cs="Times New Roman"/>
            </w:rPr>
            <m:t>age</m:t>
          </m:r>
          <m:r>
            <m:rPr>
              <m:sty m:val="p"/>
            </m:rPr>
            <w:rPr>
              <w:rFonts w:ascii="Cambria Math" w:hAnsi="Cambria Math" w:cs="Times New Roman"/>
            </w:rPr>
            <m:t xml:space="preserve"> 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β</m:t>
              </m:r>
            </m:e>
            <m:sub>
              <m:r>
                <w:rPr>
                  <w:rFonts w:ascii="Cambria Math" w:hAnsi="Cambria Math" w:cs="Times New Roman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·</m:t>
          </m:r>
          <m:r>
            <w:rPr>
              <w:rFonts w:ascii="Cambria Math" w:hAnsi="Cambria Math" w:cs="Times New Roman"/>
            </w:rPr>
            <m:t>APOE</m:t>
          </m:r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β</m:t>
              </m:r>
            </m:e>
            <m:sub>
              <m:r>
                <w:rPr>
                  <w:rFonts w:ascii="Cambria Math" w:hAnsi="Cambria Math" w:cs="Times New Roman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·</m:t>
          </m:r>
          <m:r>
            <w:rPr>
              <w:rFonts w:ascii="Cambria Math" w:hAnsi="Cambria Math" w:cs="Times New Roman"/>
            </w:rPr>
            <m:t>sensitivit</m:t>
          </m:r>
          <m:r>
            <m:rPr>
              <m:sty m:val="p"/>
            </m:rPr>
            <w:rPr>
              <w:rFonts w:ascii="Cambria Math" w:hAnsi="Cambria Math" w:cs="Times New Roman"/>
            </w:rPr>
            <m:t xml:space="preserve">y </m:t>
          </m:r>
        </m:oMath>
      </m:oMathPara>
    </w:p>
    <w:p w14:paraId="660C774A" w14:textId="77777777" w:rsidR="00054DFF" w:rsidRPr="00974239" w:rsidRDefault="00054DFF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</w:p>
    <w:p w14:paraId="07494E58" w14:textId="0CC996DD" w:rsidR="00054DFF" w:rsidRPr="00974239" w:rsidRDefault="00974239" w:rsidP="00974239">
      <w:pPr>
        <w:pStyle w:val="CommentText"/>
        <w:tabs>
          <w:tab w:val="left" w:pos="360"/>
        </w:tabs>
        <w:spacing w:line="480" w:lineRule="auto"/>
        <w:jc w:val="left"/>
        <w:rPr>
          <w:rFonts w:cs="Times New Roman"/>
        </w:rPr>
      </w:pPr>
      <w:r>
        <w:rPr>
          <w:rFonts w:cs="Times New Roman"/>
        </w:rPr>
        <w:tab/>
      </w:r>
      <w:r w:rsidR="00054DFF" w:rsidRPr="00974239">
        <w:rPr>
          <w:rFonts w:cs="Times New Roman"/>
        </w:rPr>
        <w:t>As we are building a different GLM for each demographic-lipid pair, the obtained values for these beta parameters ‘</w:t>
      </w:r>
      <w:r w:rsidR="00054DFF" w:rsidRPr="00974239">
        <w:rPr>
          <w:rFonts w:cs="Times New Roman"/>
          <w:i/>
        </w:rPr>
        <w:t>β</w:t>
      </w:r>
      <w:r w:rsidR="00054DFF" w:rsidRPr="00974239">
        <w:rPr>
          <w:rFonts w:cs="Times New Roman"/>
          <w:i/>
          <w:vertAlign w:val="subscript"/>
        </w:rPr>
        <w:t>k</w:t>
      </w:r>
      <w:r w:rsidR="00054DFF" w:rsidRPr="00974239">
        <w:rPr>
          <w:rFonts w:cs="Times New Roman"/>
        </w:rPr>
        <w:t>’ will depend on both ‘</w:t>
      </w:r>
      <w:proofErr w:type="spellStart"/>
      <w:r w:rsidR="00054DFF" w:rsidRPr="00974239">
        <w:rPr>
          <w:rFonts w:cs="Times New Roman"/>
          <w:i/>
        </w:rPr>
        <w:t>i</w:t>
      </w:r>
      <w:proofErr w:type="spellEnd"/>
      <w:r w:rsidR="00054DFF" w:rsidRPr="00974239">
        <w:rPr>
          <w:rFonts w:cs="Times New Roman"/>
        </w:rPr>
        <w:t>’ and ’</w:t>
      </w:r>
      <w:r w:rsidR="00054DFF" w:rsidRPr="00974239">
        <w:rPr>
          <w:rFonts w:cs="Times New Roman"/>
          <w:i/>
        </w:rPr>
        <w:t>j</w:t>
      </w:r>
      <w:r w:rsidR="00054DFF" w:rsidRPr="00974239">
        <w:rPr>
          <w:rFonts w:cs="Times New Roman"/>
        </w:rPr>
        <w:t>’. Correspondingly, we will refer to the estimated ‘</w:t>
      </w:r>
      <w:r w:rsidR="00054DFF" w:rsidRPr="00974239">
        <w:rPr>
          <w:rFonts w:cs="Times New Roman"/>
          <w:i/>
        </w:rPr>
        <w:t>β</w:t>
      </w:r>
      <w:r w:rsidR="00054DFF" w:rsidRPr="00974239">
        <w:rPr>
          <w:rFonts w:cs="Times New Roman"/>
          <w:i/>
          <w:vertAlign w:val="subscript"/>
        </w:rPr>
        <w:t>k</w:t>
      </w:r>
      <w:r w:rsidR="00054DFF" w:rsidRPr="00974239">
        <w:rPr>
          <w:rFonts w:cs="Times New Roman"/>
        </w:rPr>
        <w:t xml:space="preserve">’ value as </w:t>
      </w:r>
      <w:proofErr w:type="gramStart"/>
      <w:r w:rsidR="00054DFF" w:rsidRPr="00974239">
        <w:rPr>
          <w:rFonts w:cs="Times New Roman"/>
          <w:i/>
        </w:rPr>
        <w:t>β</w:t>
      </w:r>
      <w:r w:rsidR="00054DFF" w:rsidRPr="00974239">
        <w:rPr>
          <w:rFonts w:cs="Times New Roman"/>
          <w:i/>
          <w:vertAlign w:val="subscript"/>
        </w:rPr>
        <w:t>k</w:t>
      </w:r>
      <w:r w:rsidR="00054DFF" w:rsidRPr="00974239">
        <w:rPr>
          <w:rFonts w:cs="Times New Roman"/>
        </w:rPr>
        <w:t>(</w:t>
      </w:r>
      <w:proofErr w:type="spellStart"/>
      <w:proofErr w:type="gramEnd"/>
      <w:r w:rsidR="00054DFF" w:rsidRPr="00974239">
        <w:rPr>
          <w:rFonts w:cs="Times New Roman"/>
          <w:i/>
        </w:rPr>
        <w:t>i,j</w:t>
      </w:r>
      <w:proofErr w:type="spellEnd"/>
      <w:r w:rsidR="00054DFF" w:rsidRPr="00974239">
        <w:rPr>
          <w:rFonts w:cs="Times New Roman"/>
        </w:rPr>
        <w:t>).</w:t>
      </w:r>
      <w:r w:rsidRPr="00974239">
        <w:rPr>
          <w:rFonts w:cs="Times New Roman"/>
        </w:rPr>
        <w:t xml:space="preserve"> </w:t>
      </w:r>
      <w:r w:rsidR="00054DFF" w:rsidRPr="00974239">
        <w:rPr>
          <w:rFonts w:cs="Times New Roman"/>
        </w:rPr>
        <w:t>Similarly to other linear models, GLMs also allowed to derive p-</w:t>
      </w:r>
      <w:r w:rsidR="00054DFF" w:rsidRPr="00974239">
        <w:rPr>
          <w:rFonts w:cs="Times New Roman"/>
        </w:rPr>
        <w:lastRenderedPageBreak/>
        <w:t xml:space="preserve">values for each one of these </w:t>
      </w:r>
      <w:r w:rsidR="00054DFF" w:rsidRPr="00974239">
        <w:rPr>
          <w:rFonts w:cs="Times New Roman"/>
          <w:i/>
        </w:rPr>
        <w:t>β</w:t>
      </w:r>
      <w:r w:rsidR="00054DFF" w:rsidRPr="00974239">
        <w:rPr>
          <w:rFonts w:cs="Times New Roman"/>
        </w:rPr>
        <w:t xml:space="preserve"> parameters. In our case, the p-value of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k</m:t>
            </m:r>
          </m:sub>
        </m:sSub>
        <m:r>
          <w:rPr>
            <w:rFonts w:ascii="Cambria Math" w:hAnsi="Cambria Math" w:cs="Times New Roman"/>
          </w:rPr>
          <m:t>(j</m:t>
        </m:r>
        <w:proofErr w:type="gramStart"/>
        <m:r>
          <w:rPr>
            <w:rFonts w:ascii="Cambria Math" w:hAnsi="Cambria Math" w:cs="Times New Roman"/>
          </w:rPr>
          <m:t>,i</m:t>
        </m:r>
        <w:proofErr w:type="gramEnd"/>
        <m:r>
          <w:rPr>
            <w:rFonts w:ascii="Cambria Math" w:hAnsi="Cambria Math" w:cs="Times New Roman"/>
          </w:rPr>
          <m:t>)</m:t>
        </m:r>
      </m:oMath>
      <w:r w:rsidR="00054DFF" w:rsidRPr="00974239">
        <w:rPr>
          <w:rFonts w:cs="Times New Roman"/>
        </w:rPr>
        <w:t xml:space="preserve"> indicates whether that parameter was significantly different than 0, in which case we could say that there was a significant association between ‘</w:t>
      </w:r>
      <m:oMath>
        <m:r>
          <w:rPr>
            <w:rFonts w:ascii="Cambria Math" w:hAnsi="Cambria Math" w:cs="Times New Roman"/>
          </w:rPr>
          <m:t>d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j</m:t>
            </m:r>
          </m:e>
        </m:d>
      </m:oMath>
      <w:r w:rsidR="00054DFF" w:rsidRPr="00974239">
        <w:rPr>
          <w:rFonts w:cs="Times New Roman"/>
        </w:rPr>
        <w:t>’ and ‘</w:t>
      </w:r>
      <m:oMath>
        <m:r>
          <w:rPr>
            <w:rFonts w:ascii="Cambria Math" w:hAnsi="Cambria Math" w:cs="Times New Roman"/>
          </w:rPr>
          <m:t>l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i</m:t>
            </m:r>
          </m:e>
        </m:d>
      </m:oMath>
      <w:r w:rsidR="00054DFF" w:rsidRPr="00974239">
        <w:rPr>
          <w:rFonts w:cs="Times New Roman"/>
        </w:rPr>
        <w:t xml:space="preserve">’ through the variable </w:t>
      </w:r>
      <w:r w:rsidR="00054DFF" w:rsidRPr="00974239">
        <w:rPr>
          <w:rFonts w:cs="Times New Roman"/>
          <w:i/>
        </w:rPr>
        <w:t>‘k’</w:t>
      </w:r>
      <w:r w:rsidR="00054DFF" w:rsidRPr="00974239">
        <w:rPr>
          <w:rFonts w:cs="Times New Roman"/>
        </w:rPr>
        <w:t xml:space="preserve"> while controlling for the contamination sources. The p-value associated to 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</m:oMath>
      <w:r w:rsidR="00054DFF" w:rsidRPr="00974239">
        <w:rPr>
          <w:rFonts w:cs="Times New Roman"/>
        </w:rPr>
        <w:t xml:space="preserve"> of each demographics-lipid combination is what we show in </w:t>
      </w:r>
      <w:r>
        <w:rPr>
          <w:rFonts w:cs="Times New Roman"/>
        </w:rPr>
        <w:t>F</w:t>
      </w:r>
      <w:r w:rsidR="00054DFF" w:rsidRPr="00974239">
        <w:rPr>
          <w:rFonts w:cs="Times New Roman"/>
        </w:rPr>
        <w:t xml:space="preserve">igure 1. </w:t>
      </w:r>
    </w:p>
    <w:p w14:paraId="224F2E22" w14:textId="77777777" w:rsidR="00054DFF" w:rsidRPr="00974239" w:rsidRDefault="00054DFF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</w:p>
    <w:p w14:paraId="23067F1F" w14:textId="4B47906B" w:rsidR="0066669E" w:rsidRPr="00974239" w:rsidRDefault="0066669E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 w:rsidRPr="00974239">
        <w:rPr>
          <w:rFonts w:cs="Times New Roman"/>
        </w:rPr>
        <w:br w:type="page"/>
      </w:r>
    </w:p>
    <w:p w14:paraId="35158CB2" w14:textId="48526C16" w:rsidR="00974239" w:rsidRDefault="00D35DFC" w:rsidP="00974239">
      <w:pPr>
        <w:tabs>
          <w:tab w:val="left" w:pos="360"/>
        </w:tabs>
        <w:spacing w:line="480" w:lineRule="auto"/>
        <w:jc w:val="left"/>
        <w:rPr>
          <w:rStyle w:val="Heading2Char"/>
          <w:rFonts w:cs="Times New Roman"/>
          <w:sz w:val="24"/>
          <w:szCs w:val="24"/>
        </w:rPr>
      </w:pPr>
      <w:r w:rsidRPr="00974239">
        <w:rPr>
          <w:rStyle w:val="Heading2Char"/>
          <w:rFonts w:cs="Times New Roman"/>
          <w:sz w:val="24"/>
          <w:szCs w:val="24"/>
        </w:rPr>
        <w:lastRenderedPageBreak/>
        <w:t>S</w:t>
      </w:r>
      <w:r w:rsidR="001053CE">
        <w:rPr>
          <w:rStyle w:val="Heading2Char"/>
          <w:rFonts w:cs="Times New Roman"/>
          <w:sz w:val="24"/>
          <w:szCs w:val="24"/>
        </w:rPr>
        <w:t>4</w:t>
      </w:r>
      <w:bookmarkStart w:id="0" w:name="_GoBack"/>
      <w:bookmarkEnd w:id="0"/>
      <w:r w:rsidRPr="00974239">
        <w:rPr>
          <w:rStyle w:val="Heading2Char"/>
          <w:rFonts w:cs="Times New Roman"/>
          <w:sz w:val="24"/>
          <w:szCs w:val="24"/>
        </w:rPr>
        <w:t xml:space="preserve">. Time analyses. </w:t>
      </w:r>
    </w:p>
    <w:p w14:paraId="10ABC53B" w14:textId="743DDA95" w:rsidR="00137A0D" w:rsidRPr="00974239" w:rsidRDefault="00974239" w:rsidP="00974239">
      <w:pPr>
        <w:tabs>
          <w:tab w:val="left" w:pos="360"/>
        </w:tabs>
        <w:spacing w:line="480" w:lineRule="auto"/>
        <w:jc w:val="left"/>
        <w:rPr>
          <w:rFonts w:cs="Times New Roman"/>
          <w:color w:val="FF0000"/>
        </w:rPr>
      </w:pPr>
      <w:r>
        <w:rPr>
          <w:rStyle w:val="Heading2Char"/>
          <w:rFonts w:cs="Times New Roman"/>
          <w:sz w:val="24"/>
          <w:szCs w:val="24"/>
        </w:rPr>
        <w:tab/>
      </w:r>
      <w:r>
        <w:rPr>
          <w:rStyle w:val="Heading2Char"/>
          <w:rFonts w:cs="Times New Roman"/>
          <w:b w:val="0"/>
          <w:sz w:val="24"/>
          <w:szCs w:val="24"/>
        </w:rPr>
        <w:t>GLM were applied in four</w:t>
      </w:r>
      <w:r w:rsidR="00D35DFC" w:rsidRPr="00974239">
        <w:rPr>
          <w:rStyle w:val="Heading2Char"/>
          <w:rFonts w:cs="Times New Roman"/>
          <w:b w:val="0"/>
          <w:sz w:val="24"/>
          <w:szCs w:val="24"/>
        </w:rPr>
        <w:t xml:space="preserve"> age bins to </w:t>
      </w:r>
      <w:r w:rsidR="00D35DFC" w:rsidRPr="00974239">
        <w:rPr>
          <w:rFonts w:cs="Times New Roman"/>
        </w:rPr>
        <w:t>statistical significance of effects between lipids and three target variables (white matter, entorhinal and cortex thickness atrophies</w:t>
      </w:r>
      <w:r>
        <w:rPr>
          <w:rFonts w:cs="Times New Roman"/>
        </w:rPr>
        <w:t xml:space="preserve">) based on GLM models. </w:t>
      </w:r>
      <w:proofErr w:type="gramStart"/>
      <w:r>
        <w:rPr>
          <w:rFonts w:cs="Times New Roman"/>
        </w:rPr>
        <w:t>p</w:t>
      </w:r>
      <w:proofErr w:type="gramEnd"/>
      <w:r w:rsidR="00D35DFC" w:rsidRPr="00974239">
        <w:rPr>
          <w:rFonts w:cs="Times New Roman"/>
        </w:rPr>
        <w:t>-values are shown in log scale, with dotted lines representing the p=0.05 threshold.</w:t>
      </w:r>
    </w:p>
    <w:p w14:paraId="0AAE14C4" w14:textId="1F645802" w:rsidR="00D85630" w:rsidRPr="00974239" w:rsidRDefault="00E525DE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  <w:r w:rsidRPr="00974239">
        <w:rPr>
          <w:rFonts w:cs="Times New Roman"/>
          <w:noProof/>
        </w:rPr>
        <w:drawing>
          <wp:inline distT="0" distB="0" distL="0" distR="0" wp14:anchorId="1785011D" wp14:editId="7DC23B28">
            <wp:extent cx="5486400" cy="2743200"/>
            <wp:effectExtent l="0" t="0" r="0" b="0"/>
            <wp:docPr id="3" name="Picture 3" descr="G:\Project CRISTINA\programsR_v4\metabolicsClass_GLM_v7_otherBrainAreas_ba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ject CRISTINA\programsR_v4\metabolicsClass_GLM_v7_otherBrainAreas_bars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2277" w14:textId="190620D3" w:rsidR="00D35DFC" w:rsidRPr="00974239" w:rsidRDefault="00D35DFC" w:rsidP="00974239">
      <w:pPr>
        <w:tabs>
          <w:tab w:val="left" w:pos="360"/>
        </w:tabs>
        <w:spacing w:line="480" w:lineRule="auto"/>
        <w:jc w:val="left"/>
        <w:rPr>
          <w:rFonts w:cs="Times New Roman"/>
        </w:rPr>
      </w:pPr>
    </w:p>
    <w:sectPr w:rsidR="00D35DFC" w:rsidRPr="00974239" w:rsidSect="00974239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664ABB3" w15:done="0"/>
  <w15:commentEx w15:paraId="3F1BCF63" w15:done="0"/>
  <w15:commentEx w15:paraId="17B9F50B" w15:done="0"/>
  <w15:commentEx w15:paraId="47539B4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AC"/>
    <w:rsid w:val="0000659F"/>
    <w:rsid w:val="00037FC0"/>
    <w:rsid w:val="00054DFF"/>
    <w:rsid w:val="000B085B"/>
    <w:rsid w:val="000E2231"/>
    <w:rsid w:val="001053CE"/>
    <w:rsid w:val="00112E36"/>
    <w:rsid w:val="00137A0D"/>
    <w:rsid w:val="00140F19"/>
    <w:rsid w:val="001434FF"/>
    <w:rsid w:val="00231704"/>
    <w:rsid w:val="00284DBB"/>
    <w:rsid w:val="002A7816"/>
    <w:rsid w:val="002D56BE"/>
    <w:rsid w:val="002F4BBE"/>
    <w:rsid w:val="003474FC"/>
    <w:rsid w:val="00355612"/>
    <w:rsid w:val="00386A4D"/>
    <w:rsid w:val="003C1F6E"/>
    <w:rsid w:val="0041609D"/>
    <w:rsid w:val="0042646E"/>
    <w:rsid w:val="00444BEA"/>
    <w:rsid w:val="004B428C"/>
    <w:rsid w:val="005036AC"/>
    <w:rsid w:val="005420FD"/>
    <w:rsid w:val="00554193"/>
    <w:rsid w:val="005A7796"/>
    <w:rsid w:val="005C04F9"/>
    <w:rsid w:val="005F2FD2"/>
    <w:rsid w:val="00644C3E"/>
    <w:rsid w:val="0066669E"/>
    <w:rsid w:val="00673417"/>
    <w:rsid w:val="006F1502"/>
    <w:rsid w:val="00770DFD"/>
    <w:rsid w:val="007D6319"/>
    <w:rsid w:val="00805FFE"/>
    <w:rsid w:val="008B6D01"/>
    <w:rsid w:val="008B742B"/>
    <w:rsid w:val="00946F82"/>
    <w:rsid w:val="00974239"/>
    <w:rsid w:val="009B6596"/>
    <w:rsid w:val="009B6D8B"/>
    <w:rsid w:val="00A82B86"/>
    <w:rsid w:val="00AF172F"/>
    <w:rsid w:val="00B14D37"/>
    <w:rsid w:val="00B550F5"/>
    <w:rsid w:val="00BC6E44"/>
    <w:rsid w:val="00BD1894"/>
    <w:rsid w:val="00C0047B"/>
    <w:rsid w:val="00C913C6"/>
    <w:rsid w:val="00CA26F8"/>
    <w:rsid w:val="00D16F42"/>
    <w:rsid w:val="00D27D02"/>
    <w:rsid w:val="00D35DFC"/>
    <w:rsid w:val="00D85630"/>
    <w:rsid w:val="00DC05B5"/>
    <w:rsid w:val="00DD294D"/>
    <w:rsid w:val="00DD4A75"/>
    <w:rsid w:val="00DE4B2B"/>
    <w:rsid w:val="00E025A5"/>
    <w:rsid w:val="00E357A5"/>
    <w:rsid w:val="00E525DE"/>
    <w:rsid w:val="00EB1DF9"/>
    <w:rsid w:val="00ED135F"/>
    <w:rsid w:val="00EE1443"/>
    <w:rsid w:val="00F217EE"/>
    <w:rsid w:val="00F26EF8"/>
    <w:rsid w:val="00F357B8"/>
    <w:rsid w:val="00F45F57"/>
    <w:rsid w:val="00F668FE"/>
    <w:rsid w:val="00F87DAE"/>
    <w:rsid w:val="00FA6B8A"/>
    <w:rsid w:val="00FB7CD8"/>
    <w:rsid w:val="00FC6881"/>
    <w:rsid w:val="00FE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0228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E"/>
    <w:pPr>
      <w:spacing w:after="0" w:line="360" w:lineRule="auto"/>
      <w:jc w:val="both"/>
    </w:pPr>
    <w:rPr>
      <w:rFonts w:ascii="Times New Roman" w:eastAsiaTheme="minorEastAsia" w:hAnsi="Times New Roman" w:cs="Arial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4DFF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32"/>
      <w:szCs w:val="32"/>
      <w:lang w:eastAsia="ko-K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17EE"/>
    <w:pPr>
      <w:keepNext/>
      <w:keepLines/>
      <w:spacing w:before="480" w:after="480"/>
      <w:outlineLvl w:val="1"/>
    </w:pPr>
    <w:rPr>
      <w:rFonts w:eastAsiaTheme="majorEastAsia" w:cstheme="majorBidi"/>
      <w:b/>
      <w:bCs/>
      <w:color w:val="000000" w:themeColor="text1"/>
      <w:sz w:val="26"/>
      <w:szCs w:val="26"/>
      <w:lang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4DFF"/>
    <w:pPr>
      <w:keepNext/>
      <w:keepLines/>
      <w:spacing w:before="320" w:after="12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DFF"/>
    <w:rPr>
      <w:rFonts w:ascii="Arial" w:eastAsiaTheme="majorEastAsia" w:hAnsi="Arial" w:cstheme="majorBidi"/>
      <w:b/>
      <w:bCs/>
      <w:color w:val="000000" w:themeColor="text1"/>
      <w:sz w:val="32"/>
      <w:szCs w:val="32"/>
      <w:lang w:val="en-US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F217EE"/>
    <w:rPr>
      <w:rFonts w:ascii="Times New Roman" w:eastAsiaTheme="majorEastAsia" w:hAnsi="Times New Roman" w:cstheme="majorBidi"/>
      <w:b/>
      <w:bCs/>
      <w:color w:val="000000" w:themeColor="text1"/>
      <w:sz w:val="26"/>
      <w:szCs w:val="26"/>
      <w:lang w:val="en-US"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054DFF"/>
    <w:rPr>
      <w:rFonts w:ascii="Arial" w:eastAsiaTheme="majorEastAsia" w:hAnsi="Arial" w:cstheme="majorBidi"/>
      <w:b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54D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54DFF"/>
  </w:style>
  <w:style w:type="character" w:customStyle="1" w:styleId="CommentTextChar">
    <w:name w:val="Comment Text Char"/>
    <w:basedOn w:val="DefaultParagraphFont"/>
    <w:link w:val="CommentText"/>
    <w:uiPriority w:val="99"/>
    <w:rsid w:val="00054DFF"/>
    <w:rPr>
      <w:rFonts w:ascii="Arial" w:eastAsiaTheme="minorEastAsia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DFF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D1894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D37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D37"/>
    <w:rPr>
      <w:rFonts w:ascii="Arial" w:eastAsiaTheme="minorEastAsia" w:hAnsi="Arial" w:cs="Arial"/>
      <w:b/>
      <w:bCs/>
      <w:sz w:val="20"/>
      <w:szCs w:val="20"/>
      <w:lang w:val="en-US"/>
    </w:rPr>
  </w:style>
  <w:style w:type="table" w:styleId="LightShading">
    <w:name w:val="Light Shading"/>
    <w:basedOn w:val="TableNormal"/>
    <w:uiPriority w:val="60"/>
    <w:rsid w:val="0066669E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E"/>
    <w:pPr>
      <w:spacing w:after="0" w:line="360" w:lineRule="auto"/>
      <w:jc w:val="both"/>
    </w:pPr>
    <w:rPr>
      <w:rFonts w:ascii="Times New Roman" w:eastAsiaTheme="minorEastAsia" w:hAnsi="Times New Roman" w:cs="Arial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4DFF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32"/>
      <w:szCs w:val="32"/>
      <w:lang w:eastAsia="ko-K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17EE"/>
    <w:pPr>
      <w:keepNext/>
      <w:keepLines/>
      <w:spacing w:before="480" w:after="480"/>
      <w:outlineLvl w:val="1"/>
    </w:pPr>
    <w:rPr>
      <w:rFonts w:eastAsiaTheme="majorEastAsia" w:cstheme="majorBidi"/>
      <w:b/>
      <w:bCs/>
      <w:color w:val="000000" w:themeColor="text1"/>
      <w:sz w:val="26"/>
      <w:szCs w:val="26"/>
      <w:lang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4DFF"/>
    <w:pPr>
      <w:keepNext/>
      <w:keepLines/>
      <w:spacing w:before="320" w:after="12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DFF"/>
    <w:rPr>
      <w:rFonts w:ascii="Arial" w:eastAsiaTheme="majorEastAsia" w:hAnsi="Arial" w:cstheme="majorBidi"/>
      <w:b/>
      <w:bCs/>
      <w:color w:val="000000" w:themeColor="text1"/>
      <w:sz w:val="32"/>
      <w:szCs w:val="32"/>
      <w:lang w:val="en-US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F217EE"/>
    <w:rPr>
      <w:rFonts w:ascii="Times New Roman" w:eastAsiaTheme="majorEastAsia" w:hAnsi="Times New Roman" w:cstheme="majorBidi"/>
      <w:b/>
      <w:bCs/>
      <w:color w:val="000000" w:themeColor="text1"/>
      <w:sz w:val="26"/>
      <w:szCs w:val="26"/>
      <w:lang w:val="en-US"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054DFF"/>
    <w:rPr>
      <w:rFonts w:ascii="Arial" w:eastAsiaTheme="majorEastAsia" w:hAnsi="Arial" w:cstheme="majorBidi"/>
      <w:b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54D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54DFF"/>
  </w:style>
  <w:style w:type="character" w:customStyle="1" w:styleId="CommentTextChar">
    <w:name w:val="Comment Text Char"/>
    <w:basedOn w:val="DefaultParagraphFont"/>
    <w:link w:val="CommentText"/>
    <w:uiPriority w:val="99"/>
    <w:rsid w:val="00054DFF"/>
    <w:rPr>
      <w:rFonts w:ascii="Arial" w:eastAsiaTheme="minorEastAsia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DFF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D1894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D37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D37"/>
    <w:rPr>
      <w:rFonts w:ascii="Arial" w:eastAsiaTheme="minorEastAsia" w:hAnsi="Arial" w:cs="Arial"/>
      <w:b/>
      <w:bCs/>
      <w:sz w:val="20"/>
      <w:szCs w:val="20"/>
      <w:lang w:val="en-US"/>
    </w:rPr>
  </w:style>
  <w:style w:type="table" w:styleId="LightShading">
    <w:name w:val="Light Shading"/>
    <w:basedOn w:val="TableNormal"/>
    <w:uiPriority w:val="60"/>
    <w:rsid w:val="0066669E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F25EE9-7954-2F45-A8D4-0CAF0A3D3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739</Words>
  <Characters>4214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Alejo Nevado-Holgado</dc:creator>
  <cp:lastModifiedBy>Beth Kumar</cp:lastModifiedBy>
  <cp:revision>4</cp:revision>
  <cp:lastPrinted>2016-05-31T19:58:00Z</cp:lastPrinted>
  <dcterms:created xsi:type="dcterms:W3CDTF">2016-10-10T10:47:00Z</dcterms:created>
  <dcterms:modified xsi:type="dcterms:W3CDTF">2016-10-26T15:50:00Z</dcterms:modified>
</cp:coreProperties>
</file>