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08" w:rsidRPr="00FA1182" w:rsidRDefault="00E75908" w:rsidP="00E7590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1182">
        <w:rPr>
          <w:rFonts w:ascii="Times New Roman" w:hAnsi="Times New Roman" w:cs="Times New Roman"/>
          <w:sz w:val="24"/>
          <w:szCs w:val="24"/>
          <w:lang w:val="en-US"/>
        </w:rPr>
        <w:t>Supplementary Table 1</w:t>
      </w:r>
    </w:p>
    <w:p w:rsidR="00E75908" w:rsidRDefault="00E75908" w:rsidP="00E7590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Baseline demographic, neuropsychological, </w:t>
      </w:r>
      <w:proofErr w:type="gramStart"/>
      <w:r w:rsidRPr="00DA7619">
        <w:rPr>
          <w:rFonts w:ascii="Times New Roman" w:hAnsi="Times New Roman" w:cs="Times New Roman"/>
          <w:sz w:val="24"/>
          <w:szCs w:val="24"/>
          <w:lang w:val="en-US"/>
        </w:rPr>
        <w:t>biomarker,</w:t>
      </w:r>
      <w:proofErr w:type="gramEnd"/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 and genetic characteristics </w:t>
      </w:r>
      <w:r>
        <w:rPr>
          <w:rFonts w:ascii="Times New Roman" w:hAnsi="Times New Roman" w:cs="Times New Roman"/>
          <w:sz w:val="24"/>
          <w:szCs w:val="24"/>
          <w:lang w:val="en-US"/>
        </w:rPr>
        <w:t>of the MCI due to AD population</w:t>
      </w:r>
    </w:p>
    <w:p w:rsidR="00E75908" w:rsidRPr="00DA7619" w:rsidRDefault="00E75908" w:rsidP="00E7590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126"/>
      </w:tblGrid>
      <w:tr w:rsidR="00E75908" w:rsidRPr="00DA7619" w:rsidTr="009E1DD0">
        <w:tc>
          <w:tcPr>
            <w:tcW w:w="8755" w:type="dxa"/>
            <w:gridSpan w:val="2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619">
              <w:rPr>
                <w:rFonts w:ascii="Times New Roman" w:hAnsi="Times New Roman"/>
                <w:b/>
                <w:sz w:val="24"/>
                <w:szCs w:val="24"/>
              </w:rPr>
              <w:t>Demographic characteristics at time of LP</w:t>
            </w:r>
          </w:p>
        </w:tc>
      </w:tr>
      <w:tr w:rsidR="00E75908" w:rsidRPr="00DA7619" w:rsidTr="009E1DD0">
        <w:tc>
          <w:tcPr>
            <w:tcW w:w="6629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F/M, n</w:t>
            </w:r>
          </w:p>
        </w:tc>
        <w:tc>
          <w:tcPr>
            <w:tcW w:w="2126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23 / 15</w:t>
            </w:r>
          </w:p>
        </w:tc>
      </w:tr>
      <w:tr w:rsidR="00E75908" w:rsidRPr="00DA7619" w:rsidTr="009E1DD0">
        <w:tc>
          <w:tcPr>
            <w:tcW w:w="6629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 (y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>), mean ± SD</w:t>
            </w:r>
          </w:p>
        </w:tc>
        <w:tc>
          <w:tcPr>
            <w:tcW w:w="2126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72.3 ± 8.5</w:t>
            </w:r>
          </w:p>
        </w:tc>
      </w:tr>
      <w:tr w:rsidR="00E75908" w:rsidRPr="00DA7619" w:rsidTr="009E1DD0">
        <w:tc>
          <w:tcPr>
            <w:tcW w:w="6629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 at disease onset (y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>), mean ± SD</w:t>
            </w:r>
          </w:p>
        </w:tc>
        <w:tc>
          <w:tcPr>
            <w:tcW w:w="2126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69.6 ± 8.9</w:t>
            </w:r>
          </w:p>
        </w:tc>
      </w:tr>
      <w:tr w:rsidR="00E75908" w:rsidRPr="00DA7619" w:rsidTr="009E1DD0">
        <w:tc>
          <w:tcPr>
            <w:tcW w:w="6629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Disease duration (y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>), mean ± SD</w:t>
            </w:r>
          </w:p>
        </w:tc>
        <w:tc>
          <w:tcPr>
            <w:tcW w:w="2126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2.7 ± 2.5</w:t>
            </w:r>
          </w:p>
        </w:tc>
      </w:tr>
      <w:tr w:rsidR="00E75908" w:rsidRPr="00DA7619" w:rsidTr="009E1DD0">
        <w:tc>
          <w:tcPr>
            <w:tcW w:w="6629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Amnestic/non-amnestic subtype, n</w:t>
            </w:r>
          </w:p>
        </w:tc>
        <w:tc>
          <w:tcPr>
            <w:tcW w:w="2126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35 / 3</w:t>
            </w:r>
          </w:p>
        </w:tc>
      </w:tr>
      <w:tr w:rsidR="00E75908" w:rsidRPr="00DA7619" w:rsidTr="009E1DD0">
        <w:tc>
          <w:tcPr>
            <w:tcW w:w="8755" w:type="dxa"/>
            <w:gridSpan w:val="2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619">
              <w:rPr>
                <w:rFonts w:ascii="Times New Roman" w:hAnsi="Times New Roman"/>
                <w:b/>
                <w:sz w:val="24"/>
                <w:szCs w:val="24"/>
              </w:rPr>
              <w:t>Neuropsychological characteristics at time of LP</w:t>
            </w:r>
          </w:p>
        </w:tc>
      </w:tr>
      <w:tr w:rsidR="00E75908" w:rsidRPr="00DA7619" w:rsidTr="009E1DD0">
        <w:tc>
          <w:tcPr>
            <w:tcW w:w="6629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MMSE (/30), mean ± SD</w:t>
            </w:r>
          </w:p>
        </w:tc>
        <w:tc>
          <w:tcPr>
            <w:tcW w:w="2126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25.0 ± 2.6 (n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>35)</w:t>
            </w:r>
          </w:p>
        </w:tc>
      </w:tr>
      <w:tr w:rsidR="00E75908" w:rsidRPr="00DA7619" w:rsidTr="009E1DD0">
        <w:tc>
          <w:tcPr>
            <w:tcW w:w="6629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Executive disorder, n</w:t>
            </w:r>
          </w:p>
        </w:tc>
        <w:tc>
          <w:tcPr>
            <w:tcW w:w="2126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14 (n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>28)</w:t>
            </w:r>
          </w:p>
        </w:tc>
      </w:tr>
      <w:tr w:rsidR="00E75908" w:rsidRPr="00DA7619" w:rsidTr="009E1DD0">
        <w:tc>
          <w:tcPr>
            <w:tcW w:w="6629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Immediate memory disorder, n</w:t>
            </w:r>
          </w:p>
        </w:tc>
        <w:tc>
          <w:tcPr>
            <w:tcW w:w="2126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24 (n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>33)</w:t>
            </w:r>
          </w:p>
        </w:tc>
      </w:tr>
      <w:tr w:rsidR="00E75908" w:rsidRPr="00DA7619" w:rsidTr="009E1DD0">
        <w:tc>
          <w:tcPr>
            <w:tcW w:w="6629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Delayed memory disorder, n</w:t>
            </w:r>
          </w:p>
        </w:tc>
        <w:tc>
          <w:tcPr>
            <w:tcW w:w="2126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28 (n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>32)</w:t>
            </w:r>
          </w:p>
        </w:tc>
      </w:tr>
      <w:tr w:rsidR="00E75908" w:rsidRPr="00DA7619" w:rsidTr="009E1DD0">
        <w:tc>
          <w:tcPr>
            <w:tcW w:w="6629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Language disorder, n</w:t>
            </w:r>
          </w:p>
        </w:tc>
        <w:tc>
          <w:tcPr>
            <w:tcW w:w="2126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11 (n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>34)</w:t>
            </w:r>
          </w:p>
        </w:tc>
      </w:tr>
      <w:tr w:rsidR="00E75908" w:rsidRPr="00DA7619" w:rsidTr="009E1DD0">
        <w:tc>
          <w:tcPr>
            <w:tcW w:w="8755" w:type="dxa"/>
            <w:gridSpan w:val="2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619">
              <w:rPr>
                <w:rFonts w:ascii="Times New Roman" w:hAnsi="Times New Roman"/>
                <w:b/>
                <w:sz w:val="24"/>
                <w:szCs w:val="24"/>
              </w:rPr>
              <w:t>Biomarker and genetic characteristics at time of LP</w:t>
            </w:r>
          </w:p>
        </w:tc>
      </w:tr>
      <w:tr w:rsidR="00E75908" w:rsidRPr="00DA7619" w:rsidTr="009E1DD0">
        <w:tc>
          <w:tcPr>
            <w:tcW w:w="6629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Aβ</w:t>
            </w:r>
            <w:r w:rsidRPr="00DA7619">
              <w:rPr>
                <w:rFonts w:ascii="Times New Roman" w:hAnsi="Times New Roman"/>
                <w:sz w:val="24"/>
                <w:szCs w:val="24"/>
                <w:vertAlign w:val="subscript"/>
              </w:rPr>
              <w:t>1-42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 xml:space="preserve"> (pg/ml), mean ± SD</w:t>
            </w:r>
          </w:p>
        </w:tc>
        <w:tc>
          <w:tcPr>
            <w:tcW w:w="2126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473 ± 112</w:t>
            </w:r>
          </w:p>
        </w:tc>
      </w:tr>
      <w:tr w:rsidR="00E75908" w:rsidRPr="00DA7619" w:rsidTr="009E1DD0">
        <w:tc>
          <w:tcPr>
            <w:tcW w:w="6629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T-tau (pg/ml), mean ± SD</w:t>
            </w:r>
          </w:p>
        </w:tc>
        <w:tc>
          <w:tcPr>
            <w:tcW w:w="2126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639 ± 292</w:t>
            </w:r>
          </w:p>
        </w:tc>
      </w:tr>
      <w:tr w:rsidR="00E75908" w:rsidRPr="00DA7619" w:rsidTr="009E1DD0">
        <w:tc>
          <w:tcPr>
            <w:tcW w:w="6629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P-tau</w:t>
            </w:r>
            <w:r w:rsidRPr="00DA7619">
              <w:rPr>
                <w:rFonts w:ascii="Times New Roman" w:hAnsi="Times New Roman"/>
                <w:sz w:val="24"/>
                <w:szCs w:val="24"/>
                <w:vertAlign w:val="subscript"/>
              </w:rPr>
              <w:t>181P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 xml:space="preserve"> (pg/ml), mean ± SD</w:t>
            </w:r>
          </w:p>
        </w:tc>
        <w:tc>
          <w:tcPr>
            <w:tcW w:w="2126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90.3 ± 29.0</w:t>
            </w:r>
          </w:p>
        </w:tc>
      </w:tr>
      <w:tr w:rsidR="00E75908" w:rsidRPr="00DA7619" w:rsidTr="009E1DD0">
        <w:tc>
          <w:tcPr>
            <w:tcW w:w="6629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i/>
                <w:sz w:val="24"/>
                <w:szCs w:val="24"/>
              </w:rPr>
              <w:t>APOE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 xml:space="preserve"> ε4 double carriers, n</w:t>
            </w:r>
          </w:p>
        </w:tc>
        <w:tc>
          <w:tcPr>
            <w:tcW w:w="2126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7 (n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>35)</w:t>
            </w:r>
          </w:p>
        </w:tc>
      </w:tr>
      <w:tr w:rsidR="00E75908" w:rsidRPr="00DA7619" w:rsidTr="009E1DD0">
        <w:tc>
          <w:tcPr>
            <w:tcW w:w="6629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i/>
                <w:sz w:val="24"/>
                <w:szCs w:val="24"/>
              </w:rPr>
              <w:t>APOE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 xml:space="preserve"> ε4 single carriers, n</w:t>
            </w:r>
          </w:p>
        </w:tc>
        <w:tc>
          <w:tcPr>
            <w:tcW w:w="2126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13 (n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>35)</w:t>
            </w:r>
          </w:p>
        </w:tc>
      </w:tr>
      <w:tr w:rsidR="00E75908" w:rsidRPr="00DA7619" w:rsidTr="009E1DD0">
        <w:tc>
          <w:tcPr>
            <w:tcW w:w="6629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i/>
                <w:sz w:val="24"/>
                <w:szCs w:val="24"/>
              </w:rPr>
              <w:t>APOE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 xml:space="preserve"> ε4 non carriers, n</w:t>
            </w:r>
          </w:p>
        </w:tc>
        <w:tc>
          <w:tcPr>
            <w:tcW w:w="2126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15 (n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>35)</w:t>
            </w:r>
          </w:p>
        </w:tc>
      </w:tr>
      <w:tr w:rsidR="00E75908" w:rsidRPr="00DA7619" w:rsidTr="009E1DD0">
        <w:tc>
          <w:tcPr>
            <w:tcW w:w="8755" w:type="dxa"/>
            <w:gridSpan w:val="2"/>
          </w:tcPr>
          <w:p w:rsidR="00E75908" w:rsidRPr="00DA7619" w:rsidRDefault="00E75908" w:rsidP="009E1DD0">
            <w:pPr>
              <w:pStyle w:val="Caption"/>
              <w:tabs>
                <w:tab w:val="left" w:pos="360"/>
              </w:tabs>
              <w:spacing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Executive functioning was measured with the FAB or TMT-B test, where a score ≤14 on the FAB and/or a z-score ≤-1.5 on the TMT-B indicated an executive disorder. Immediate memory was assessed with the HDS – item 8 (registration) (≤7), RBANS or WMS-III or IV immediate memory index scores (z-score ≤1.5). Delayed memory was based on the HDS – item 20 (delayed recall) (≤7), RBANS or WMS-III or IV delayed memory index scores (z-score ≤1.5). Language functioning was measured with the RBANS language index score (z-score ≤1.5), and/or the BNT (≤45).</w:t>
            </w:r>
          </w:p>
          <w:p w:rsidR="00E75908" w:rsidRPr="00DA7619" w:rsidRDefault="00E75908" w:rsidP="009E1DD0">
            <w:pPr>
              <w:pStyle w:val="Caption"/>
              <w:tabs>
                <w:tab w:val="left" w:pos="360"/>
              </w:tabs>
              <w:spacing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Aβ</w:t>
            </w:r>
            <w:r w:rsidRPr="00DA7619"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bscript"/>
              </w:rPr>
              <w:t>1-42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, </w:t>
            </w:r>
            <w:r w:rsidRPr="00DA761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amyloid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-beta</w:t>
            </w:r>
            <w:r w:rsidRPr="00DA761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protein of 42 amino acids; APOE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, a</w:t>
            </w:r>
            <w:r w:rsidRPr="00DA761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polipoprotein E; BNT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, </w:t>
            </w:r>
            <w:r w:rsidRPr="00DA761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Boston Naming Test; FAB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, </w:t>
            </w:r>
            <w:r w:rsidRPr="00DA761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Frontal Assessment Battery; HDS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, </w:t>
            </w:r>
            <w:r w:rsidRPr="00DA761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Hierarchic Dementia Scale; MMSE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, </w:t>
            </w:r>
            <w:r w:rsidRPr="00DA761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Mini-Mental State Examination; P-tau</w:t>
            </w:r>
            <w:r w:rsidRPr="00DA7619"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bscript"/>
              </w:rPr>
              <w:t>181P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, </w:t>
            </w:r>
            <w:r w:rsidRPr="00DA761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tau protein phosphorylated at </w:t>
            </w:r>
            <w:r w:rsidRPr="00DA761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threonin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e 181; RBANS, </w:t>
            </w:r>
            <w:r w:rsidRPr="00DA761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Repeatable Battery for the Assessment of Neuropsychological Status; TMT-B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, </w:t>
            </w:r>
            <w:r w:rsidRPr="00DA761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Trail Making Test Part B; T-tau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, </w:t>
            </w:r>
            <w:r w:rsidRPr="00DA761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total tau protein; WMS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, </w:t>
            </w:r>
            <w:r w:rsidRPr="00DA761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Wechsler Memory Scale.</w:t>
            </w:r>
          </w:p>
        </w:tc>
      </w:tr>
    </w:tbl>
    <w:p w:rsidR="00E75908" w:rsidRPr="00DA7619" w:rsidRDefault="00E75908" w:rsidP="00E7590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761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br w:type="page"/>
      </w:r>
    </w:p>
    <w:p w:rsidR="00E75908" w:rsidRPr="004B3347" w:rsidRDefault="00E75908" w:rsidP="00E7590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3347"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Supplementary Table 2</w:t>
      </w:r>
    </w:p>
    <w:p w:rsidR="00E75908" w:rsidRPr="00DA7619" w:rsidRDefault="00E75908" w:rsidP="00E7590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7619">
        <w:rPr>
          <w:rFonts w:ascii="Times New Roman" w:hAnsi="Times New Roman" w:cs="Times New Roman"/>
          <w:sz w:val="24"/>
          <w:szCs w:val="24"/>
          <w:lang w:val="en-US"/>
        </w:rPr>
        <w:t>Follow-up demographic and clinical characteristics of the MCI due to AD population (‘MCI’)</w:t>
      </w:r>
    </w:p>
    <w:tbl>
      <w:tblPr>
        <w:tblStyle w:val="TableGrid"/>
        <w:tblW w:w="9282" w:type="dxa"/>
        <w:tblLook w:val="04A0" w:firstRow="1" w:lastRow="0" w:firstColumn="1" w:lastColumn="0" w:noHBand="0" w:noVBand="1"/>
      </w:tblPr>
      <w:tblGrid>
        <w:gridCol w:w="6245"/>
        <w:gridCol w:w="1376"/>
        <w:gridCol w:w="1661"/>
      </w:tblGrid>
      <w:tr w:rsidR="00E75908" w:rsidRPr="00DA7619" w:rsidTr="009E1DD0">
        <w:tc>
          <w:tcPr>
            <w:tcW w:w="6245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Diagnosis at follow-up</w:t>
            </w:r>
          </w:p>
        </w:tc>
        <w:tc>
          <w:tcPr>
            <w:tcW w:w="1376" w:type="dxa"/>
          </w:tcPr>
          <w:p w:rsidR="00E75908" w:rsidRPr="00DA7619" w:rsidRDefault="00E75908" w:rsidP="009E1DD0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MCI</w:t>
            </w:r>
          </w:p>
        </w:tc>
        <w:tc>
          <w:tcPr>
            <w:tcW w:w="1661" w:type="dxa"/>
          </w:tcPr>
          <w:p w:rsidR="00E75908" w:rsidRPr="00DA7619" w:rsidRDefault="00E75908" w:rsidP="009E1DD0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Probable AD</w:t>
            </w:r>
          </w:p>
        </w:tc>
      </w:tr>
      <w:tr w:rsidR="00E75908" w:rsidRPr="00DA7619" w:rsidTr="009E1DD0">
        <w:tc>
          <w:tcPr>
            <w:tcW w:w="6245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F/M, n (*)</w:t>
            </w:r>
          </w:p>
        </w:tc>
        <w:tc>
          <w:tcPr>
            <w:tcW w:w="1376" w:type="dxa"/>
          </w:tcPr>
          <w:p w:rsidR="00E75908" w:rsidRPr="00DA7619" w:rsidRDefault="00E75908" w:rsidP="009E1DD0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9 / 6</w:t>
            </w:r>
          </w:p>
        </w:tc>
        <w:tc>
          <w:tcPr>
            <w:tcW w:w="1661" w:type="dxa"/>
          </w:tcPr>
          <w:p w:rsidR="00E75908" w:rsidRPr="00DA7619" w:rsidRDefault="00E75908" w:rsidP="009E1DD0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13 / 9</w:t>
            </w:r>
          </w:p>
        </w:tc>
      </w:tr>
      <w:tr w:rsidR="00E75908" w:rsidRPr="00DA7619" w:rsidTr="009E1DD0">
        <w:tc>
          <w:tcPr>
            <w:tcW w:w="6245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Follow-up time to latest conversion o</w:t>
            </w:r>
            <w:r>
              <w:rPr>
                <w:rFonts w:ascii="Times New Roman" w:hAnsi="Times New Roman"/>
                <w:sz w:val="24"/>
                <w:szCs w:val="24"/>
              </w:rPr>
              <w:t>r last consultation (y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>), mean ± SD</w:t>
            </w:r>
          </w:p>
        </w:tc>
        <w:tc>
          <w:tcPr>
            <w:tcW w:w="1376" w:type="dxa"/>
          </w:tcPr>
          <w:p w:rsidR="00E75908" w:rsidRPr="00DA7619" w:rsidRDefault="00E75908" w:rsidP="009E1DD0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2.4 ± 1.1</w:t>
            </w:r>
          </w:p>
        </w:tc>
        <w:tc>
          <w:tcPr>
            <w:tcW w:w="1661" w:type="dxa"/>
          </w:tcPr>
          <w:p w:rsidR="00E75908" w:rsidRPr="00DA7619" w:rsidRDefault="00E75908" w:rsidP="009E1DD0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2.3 ± 1.5</w:t>
            </w:r>
          </w:p>
        </w:tc>
      </w:tr>
      <w:tr w:rsidR="00E75908" w:rsidRPr="00DA7619" w:rsidTr="009E1DD0">
        <w:tc>
          <w:tcPr>
            <w:tcW w:w="6245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Amnestic/non-amnestic MCI subtype at follow-up, n</w:t>
            </w:r>
          </w:p>
        </w:tc>
        <w:tc>
          <w:tcPr>
            <w:tcW w:w="1376" w:type="dxa"/>
          </w:tcPr>
          <w:p w:rsidR="00E75908" w:rsidRPr="00DA7619" w:rsidRDefault="00E75908" w:rsidP="009E1DD0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13 / 2</w:t>
            </w:r>
          </w:p>
        </w:tc>
        <w:tc>
          <w:tcPr>
            <w:tcW w:w="1661" w:type="dxa"/>
          </w:tcPr>
          <w:p w:rsidR="00E75908" w:rsidRPr="00DA7619" w:rsidRDefault="00E75908" w:rsidP="009E1DD0">
            <w:pPr>
              <w:tabs>
                <w:tab w:val="left" w:pos="36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7619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</w:p>
        </w:tc>
      </w:tr>
      <w:tr w:rsidR="00E75908" w:rsidRPr="00DA7619" w:rsidTr="009E1DD0">
        <w:tc>
          <w:tcPr>
            <w:tcW w:w="6245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MMSE at last consultation, mean ± SD (**)</w:t>
            </w:r>
          </w:p>
        </w:tc>
        <w:tc>
          <w:tcPr>
            <w:tcW w:w="1376" w:type="dxa"/>
          </w:tcPr>
          <w:p w:rsidR="00E75908" w:rsidRPr="00DA7619" w:rsidRDefault="00E75908" w:rsidP="009E1DD0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25.2 ± 3.7 (n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>11)</w:t>
            </w:r>
          </w:p>
        </w:tc>
        <w:tc>
          <w:tcPr>
            <w:tcW w:w="1661" w:type="dxa"/>
          </w:tcPr>
          <w:p w:rsidR="00E75908" w:rsidRPr="00DA7619" w:rsidRDefault="00E75908" w:rsidP="009E1DD0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19">
              <w:rPr>
                <w:rFonts w:ascii="Times New Roman" w:hAnsi="Times New Roman"/>
                <w:sz w:val="24"/>
                <w:szCs w:val="24"/>
              </w:rPr>
              <w:t>16.4 ± 6.6 (n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619">
              <w:rPr>
                <w:rFonts w:ascii="Times New Roman" w:hAnsi="Times New Roman"/>
                <w:sz w:val="24"/>
                <w:szCs w:val="24"/>
              </w:rPr>
              <w:t>21)</w:t>
            </w:r>
          </w:p>
        </w:tc>
      </w:tr>
    </w:tbl>
    <w:p w:rsidR="00E75908" w:rsidRPr="00DA7619" w:rsidRDefault="00E75908" w:rsidP="00E7590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7619">
        <w:rPr>
          <w:rFonts w:ascii="Times New Roman" w:hAnsi="Times New Roman" w:cs="Times New Roman"/>
          <w:sz w:val="24"/>
          <w:szCs w:val="24"/>
          <w:lang w:val="en-US"/>
        </w:rPr>
        <w:t>(*) Out of thirty-eight MCI patients, the total follow-up time of on</w:t>
      </w:r>
      <w:r>
        <w:rPr>
          <w:rFonts w:ascii="Times New Roman" w:hAnsi="Times New Roman" w:cs="Times New Roman"/>
          <w:sz w:val="24"/>
          <w:szCs w:val="24"/>
          <w:lang w:val="en-US"/>
        </w:rPr>
        <w:t>e patient was less than one y</w:t>
      </w:r>
      <w:r w:rsidRPr="00DA7619">
        <w:rPr>
          <w:rFonts w:ascii="Times New Roman" w:hAnsi="Times New Roman" w:cs="Times New Roman"/>
          <w:sz w:val="24"/>
          <w:szCs w:val="24"/>
          <w:lang w:val="en-US"/>
        </w:rPr>
        <w:t>, while the other patients (in total 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7619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7619">
        <w:rPr>
          <w:rFonts w:ascii="Times New Roman" w:hAnsi="Times New Roman" w:cs="Times New Roman"/>
          <w:sz w:val="24"/>
          <w:szCs w:val="24"/>
          <w:lang w:val="en-US"/>
        </w:rPr>
        <w:t>37) were followed-up clinically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more than one y</w:t>
      </w:r>
      <w:r w:rsidRPr="00DA7619">
        <w:rPr>
          <w:rFonts w:ascii="Times New Roman" w:hAnsi="Times New Roman" w:cs="Times New Roman"/>
          <w:sz w:val="24"/>
          <w:szCs w:val="24"/>
          <w:lang w:val="en-US"/>
        </w:rPr>
        <w:t>, before and/or after LP. Thirty-two of these 37 persons wer</w:t>
      </w:r>
      <w:r>
        <w:rPr>
          <w:rFonts w:ascii="Times New Roman" w:hAnsi="Times New Roman" w:cs="Times New Roman"/>
          <w:sz w:val="24"/>
          <w:szCs w:val="24"/>
          <w:lang w:val="en-US"/>
        </w:rPr>
        <w:t>e followed-up for more than one y</w:t>
      </w:r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 post-LP (**). However, only 31 patients of these 32 are represented in Fig.5 as thin lines since for one patient, none of the MMSE could be time-linked to the LP (+/- 3 months). Therefore, the linear mixed model analysis also included 36 MCI patients in total.</w:t>
      </w:r>
    </w:p>
    <w:p w:rsidR="00E75908" w:rsidRPr="00DA7619" w:rsidRDefault="00E75908" w:rsidP="00E7590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5908" w:rsidRPr="00DA7619" w:rsidRDefault="00E75908" w:rsidP="00E7590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7619">
        <w:rPr>
          <w:rFonts w:ascii="Times New Roman" w:hAnsi="Times New Roman" w:cs="Times New Roman"/>
          <w:sz w:val="24"/>
          <w:szCs w:val="24"/>
          <w:lang w:val="en-US"/>
        </w:rPr>
        <w:t>Follow-up demographic characteristics of the dementia due to AD population (‘AD’) post-LP</w:t>
      </w:r>
    </w:p>
    <w:tbl>
      <w:tblPr>
        <w:tblStyle w:val="TableGrid3"/>
        <w:tblW w:w="7913" w:type="dxa"/>
        <w:tblLook w:val="04A0" w:firstRow="1" w:lastRow="0" w:firstColumn="1" w:lastColumn="0" w:noHBand="0" w:noVBand="1"/>
      </w:tblPr>
      <w:tblGrid>
        <w:gridCol w:w="5796"/>
        <w:gridCol w:w="2117"/>
      </w:tblGrid>
      <w:tr w:rsidR="00E75908" w:rsidRPr="00DA7619" w:rsidTr="009E1DD0">
        <w:tc>
          <w:tcPr>
            <w:tcW w:w="5796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DA7619">
              <w:rPr>
                <w:rFonts w:ascii="Times New Roman" w:hAnsi="Times New Roman" w:cs="Times New Roman"/>
                <w:lang w:val="en-US"/>
              </w:rPr>
              <w:t>F/M, n (*)</w:t>
            </w:r>
          </w:p>
        </w:tc>
        <w:tc>
          <w:tcPr>
            <w:tcW w:w="2117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DA7619">
              <w:rPr>
                <w:rFonts w:ascii="Times New Roman" w:hAnsi="Times New Roman" w:cs="Times New Roman"/>
                <w:lang w:val="en-US"/>
              </w:rPr>
              <w:t>19 / 13</w:t>
            </w:r>
          </w:p>
        </w:tc>
      </w:tr>
      <w:tr w:rsidR="00E75908" w:rsidRPr="00DA7619" w:rsidTr="009E1DD0">
        <w:tc>
          <w:tcPr>
            <w:tcW w:w="5796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DA7619">
              <w:rPr>
                <w:rFonts w:ascii="Times New Roman" w:hAnsi="Times New Roman" w:cs="Times New Roman"/>
                <w:lang w:val="en-US"/>
              </w:rPr>
              <w:t>Follow-up</w:t>
            </w:r>
            <w:r>
              <w:rPr>
                <w:rFonts w:ascii="Times New Roman" w:hAnsi="Times New Roman" w:cs="Times New Roman"/>
                <w:lang w:val="en-US"/>
              </w:rPr>
              <w:t xml:space="preserve"> time to last consultation (y</w:t>
            </w:r>
            <w:r w:rsidRPr="00DA7619">
              <w:rPr>
                <w:rFonts w:ascii="Times New Roman" w:hAnsi="Times New Roman" w:cs="Times New Roman"/>
                <w:lang w:val="en-US"/>
              </w:rPr>
              <w:t>), mean ± SD</w:t>
            </w:r>
          </w:p>
        </w:tc>
        <w:tc>
          <w:tcPr>
            <w:tcW w:w="2117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DA7619">
              <w:rPr>
                <w:rFonts w:ascii="Times New Roman" w:hAnsi="Times New Roman" w:cs="Times New Roman"/>
                <w:lang w:val="en-US"/>
              </w:rPr>
              <w:t>2.3 ± 1.6</w:t>
            </w:r>
          </w:p>
        </w:tc>
      </w:tr>
      <w:tr w:rsidR="00E75908" w:rsidRPr="00DA7619" w:rsidTr="009E1DD0">
        <w:tc>
          <w:tcPr>
            <w:tcW w:w="5796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DA7619">
              <w:rPr>
                <w:rFonts w:ascii="Times New Roman" w:hAnsi="Times New Roman" w:cs="Times New Roman"/>
                <w:lang w:val="en-US"/>
              </w:rPr>
              <w:t>MMSE at last consultation, mean ± SD</w:t>
            </w:r>
          </w:p>
        </w:tc>
        <w:tc>
          <w:tcPr>
            <w:tcW w:w="2117" w:type="dxa"/>
          </w:tcPr>
          <w:p w:rsidR="00E75908" w:rsidRPr="00DA7619" w:rsidRDefault="00E75908" w:rsidP="009E1DD0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DA7619">
              <w:rPr>
                <w:rFonts w:ascii="Times New Roman" w:hAnsi="Times New Roman" w:cs="Times New Roman"/>
                <w:lang w:val="en-US"/>
              </w:rPr>
              <w:t>14.4 ± 8.8</w:t>
            </w:r>
          </w:p>
        </w:tc>
      </w:tr>
    </w:tbl>
    <w:p w:rsidR="00E75908" w:rsidRPr="00DA7619" w:rsidRDefault="00E75908" w:rsidP="00E7590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(*) The total subset of AD patients with MMSE data, included in the linear mixed model analysis, involved 45 persons. Thirty-four of them had more than one MMSE, starting from three months before LP. Three of these 34 had their first MMSE less than three months prior to LP and a second MMSE at LP. These 3 patients are not included in this Supplementary table 2 since there was no follow-up after LP. Of the remaining 11 patients with only one recording, 10 had only an MMSE at LP while one subject had no MMSE at LP but one follow-up MMSE. This latter subject is included in Supplementary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A7619">
        <w:rPr>
          <w:rFonts w:ascii="Times New Roman" w:hAnsi="Times New Roman" w:cs="Times New Roman"/>
          <w:sz w:val="24"/>
          <w:szCs w:val="24"/>
          <w:lang w:val="en-US"/>
        </w:rPr>
        <w:t>able 2, resulting in 32 AD patients that were followed-up after LP.</w:t>
      </w:r>
    </w:p>
    <w:p w:rsidR="00E75908" w:rsidRPr="00DA7619" w:rsidRDefault="00E75908" w:rsidP="00E75908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5908" w:rsidRPr="00DA7619" w:rsidRDefault="00E75908" w:rsidP="00E75908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7619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E75908" w:rsidRPr="004B3347" w:rsidRDefault="00E75908" w:rsidP="00E75908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Supplementary Fig.</w:t>
      </w:r>
      <w:r w:rsidRPr="004B3347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E75908" w:rsidRPr="00DA7619" w:rsidRDefault="00E75908" w:rsidP="00E75908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7619">
        <w:rPr>
          <w:rFonts w:ascii="Times New Roman" w:hAnsi="Times New Roman" w:cs="Times New Roman"/>
          <w:sz w:val="24"/>
          <w:szCs w:val="24"/>
          <w:lang w:val="en-US"/>
        </w:rPr>
        <w:t>To determine the affinity constant (K</w:t>
      </w:r>
      <w:r w:rsidRPr="00DA76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) of the </w:t>
      </w:r>
      <w:proofErr w:type="spellStart"/>
      <w:r w:rsidRPr="00DA7619">
        <w:rPr>
          <w:rFonts w:ascii="Times New Roman" w:hAnsi="Times New Roman" w:cs="Times New Roman"/>
          <w:sz w:val="24"/>
          <w:szCs w:val="24"/>
          <w:lang w:val="en-US"/>
        </w:rPr>
        <w:t>mAbs</w:t>
      </w:r>
      <w:proofErr w:type="spellEnd"/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 ADxNGCI2 and Ng7, </w:t>
      </w:r>
      <w:proofErr w:type="spellStart"/>
      <w:r w:rsidRPr="00DA7619">
        <w:rPr>
          <w:rFonts w:ascii="Times New Roman" w:hAnsi="Times New Roman" w:cs="Times New Roman"/>
          <w:sz w:val="24"/>
          <w:szCs w:val="24"/>
          <w:lang w:val="en-US"/>
        </w:rPr>
        <w:t>biolayer</w:t>
      </w:r>
      <w:proofErr w:type="spellEnd"/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 interferometry was performed using the </w:t>
      </w:r>
      <w:proofErr w:type="spellStart"/>
      <w:r w:rsidRPr="00DA7619">
        <w:rPr>
          <w:rFonts w:ascii="Times New Roman" w:hAnsi="Times New Roman" w:cs="Times New Roman"/>
          <w:sz w:val="24"/>
          <w:szCs w:val="24"/>
          <w:lang w:val="en-US"/>
        </w:rPr>
        <w:t>BLItz</w:t>
      </w:r>
      <w:proofErr w:type="spellEnd"/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-system by </w:t>
      </w:r>
      <w:proofErr w:type="spellStart"/>
      <w:r w:rsidRPr="00DA7619">
        <w:rPr>
          <w:rFonts w:ascii="Times New Roman" w:hAnsi="Times New Roman" w:cs="Times New Roman"/>
          <w:sz w:val="24"/>
          <w:szCs w:val="24"/>
          <w:lang w:val="en-US"/>
        </w:rPr>
        <w:t>fortéBIO</w:t>
      </w:r>
      <w:proofErr w:type="spellEnd"/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 w:rsidRPr="00DA7619">
        <w:rPr>
          <w:rFonts w:ascii="Times New Roman" w:hAnsi="Times New Roman" w:cs="Times New Roman"/>
          <w:sz w:val="24"/>
          <w:szCs w:val="24"/>
          <w:lang w:val="en-US"/>
        </w:rPr>
        <w:t>biotinylated</w:t>
      </w:r>
      <w:proofErr w:type="spellEnd"/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 peptide containing the epitope of ADxNGCI2 and Ng7 was therefore loaded onto a sensor pre-coated with streptavidin and following a baseline in Phosphate-buffered Saline (PBS) containing 0.05% Tween-20 and 0.05% ProClin300 (PBST), the sensor was exposed to a range of </w:t>
      </w:r>
      <w:proofErr w:type="spellStart"/>
      <w:r w:rsidRPr="00DA7619">
        <w:rPr>
          <w:rFonts w:ascii="Times New Roman" w:hAnsi="Times New Roman" w:cs="Times New Roman"/>
          <w:sz w:val="24"/>
          <w:szCs w:val="24"/>
          <w:lang w:val="en-US"/>
        </w:rPr>
        <w:t>mAb</w:t>
      </w:r>
      <w:proofErr w:type="spellEnd"/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 concentrations: 0.333 – 1.667 – 41.67 or 208.3nM (in PBST). After recording association and dissociation (in PBST), and following subtraction of the background, the </w:t>
      </w:r>
      <w:proofErr w:type="spellStart"/>
      <w:r w:rsidRPr="00DA7619">
        <w:rPr>
          <w:rFonts w:ascii="Times New Roman" w:hAnsi="Times New Roman" w:cs="Times New Roman"/>
          <w:sz w:val="24"/>
          <w:szCs w:val="24"/>
          <w:lang w:val="en-US"/>
        </w:rPr>
        <w:t>BLItz</w:t>
      </w:r>
      <w:proofErr w:type="spellEnd"/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 data analysis software performed a global fit on the resulting association (</w:t>
      </w:r>
      <w:proofErr w:type="spellStart"/>
      <w:r w:rsidRPr="00DA761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A76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proofErr w:type="spellEnd"/>
      <w:r w:rsidRPr="00DA7619">
        <w:rPr>
          <w:rFonts w:ascii="Times New Roman" w:hAnsi="Times New Roman" w:cs="Times New Roman"/>
          <w:sz w:val="24"/>
          <w:szCs w:val="24"/>
          <w:lang w:val="en-US"/>
        </w:rPr>
        <w:t>) and dissociation (</w:t>
      </w:r>
      <w:proofErr w:type="spellStart"/>
      <w:r w:rsidRPr="00DA761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A76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proofErr w:type="spellEnd"/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) rates of the series of </w:t>
      </w:r>
      <w:proofErr w:type="spellStart"/>
      <w:r w:rsidRPr="00DA7619">
        <w:rPr>
          <w:rFonts w:ascii="Times New Roman" w:hAnsi="Times New Roman" w:cs="Times New Roman"/>
          <w:sz w:val="24"/>
          <w:szCs w:val="24"/>
          <w:lang w:val="en-US"/>
        </w:rPr>
        <w:t>mAb</w:t>
      </w:r>
      <w:proofErr w:type="spellEnd"/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 concentrations. The plots shown are the interaction of ADxNGCI2 (upper panel) or Ng7 (lower panel) with the </w:t>
      </w:r>
      <w:proofErr w:type="spellStart"/>
      <w:r w:rsidRPr="00DA7619">
        <w:rPr>
          <w:rFonts w:ascii="Times New Roman" w:hAnsi="Times New Roman" w:cs="Times New Roman"/>
          <w:sz w:val="24"/>
          <w:szCs w:val="24"/>
          <w:lang w:val="en-US"/>
        </w:rPr>
        <w:t>biotinylated</w:t>
      </w:r>
      <w:proofErr w:type="spellEnd"/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 peptide. The resulting association and dissociation (depicted in the graphs) of the </w:t>
      </w:r>
      <w:proofErr w:type="spellStart"/>
      <w:r w:rsidRPr="00DA7619">
        <w:rPr>
          <w:rFonts w:ascii="Times New Roman" w:hAnsi="Times New Roman" w:cs="Times New Roman"/>
          <w:sz w:val="24"/>
          <w:szCs w:val="24"/>
          <w:lang w:val="en-US"/>
        </w:rPr>
        <w:t>mAbs</w:t>
      </w:r>
      <w:proofErr w:type="spellEnd"/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 are visualized in color. The local fitting for each run is depicted in black and summarized in the tables below the graphs. When performing a global fitting on the multiple datasets, the K</w:t>
      </w:r>
      <w:r w:rsidRPr="00DA76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 (M) corresponding to Ng7 was 6.168e-10, while the K</w:t>
      </w:r>
      <w:r w:rsidRPr="00DA76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 (M) of ADxNGCI2 was out of range, i.e.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 &lt;1e-12.</w:t>
      </w:r>
    </w:p>
    <w:p w:rsidR="00E75908" w:rsidRPr="00DA7619" w:rsidRDefault="00E75908" w:rsidP="00E75908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761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331C4BCB" wp14:editId="5F948C3A">
            <wp:extent cx="5760720" cy="2270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1a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761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60D472F9" wp14:editId="514B957F">
            <wp:extent cx="5760720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ure 1b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908" w:rsidRPr="00DA7619" w:rsidRDefault="00E75908" w:rsidP="00E75908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761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75908" w:rsidRPr="00595F6C" w:rsidRDefault="00E75908" w:rsidP="00E75908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Supplementary Fig.</w:t>
      </w:r>
      <w:r w:rsidRPr="00595F6C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E75908" w:rsidRPr="00DA7619" w:rsidRDefault="00E75908" w:rsidP="00E75908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7619">
        <w:rPr>
          <w:rFonts w:ascii="Times New Roman" w:hAnsi="Times New Roman" w:cs="Times New Roman"/>
          <w:sz w:val="24"/>
          <w:szCs w:val="24"/>
          <w:lang w:val="en-US"/>
        </w:rPr>
        <w:t>CSF samples (n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7619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3) were </w:t>
      </w:r>
      <w:proofErr w:type="spellStart"/>
      <w:r w:rsidRPr="00DA7619">
        <w:rPr>
          <w:rFonts w:ascii="Times New Roman" w:hAnsi="Times New Roman" w:cs="Times New Roman"/>
          <w:sz w:val="24"/>
          <w:szCs w:val="24"/>
          <w:lang w:val="en-US"/>
        </w:rPr>
        <w:t>aliquoted</w:t>
      </w:r>
      <w:proofErr w:type="spellEnd"/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 at day 0 and stored immediately at -80°C or kept at 21°C (closed circles), 4°C (open squares) as well as -20°C (open triangles) during 1, 8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 or 15 day(s) before storage at -80°C pending analysis. Levels of </w:t>
      </w:r>
      <w:proofErr w:type="spellStart"/>
      <w:r w:rsidRPr="00DA7619">
        <w:rPr>
          <w:rFonts w:ascii="Times New Roman" w:hAnsi="Times New Roman" w:cs="Times New Roman"/>
          <w:sz w:val="24"/>
          <w:szCs w:val="24"/>
          <w:lang w:val="en-US"/>
        </w:rPr>
        <w:t>neurogranin</w:t>
      </w:r>
      <w:proofErr w:type="spellEnd"/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7619">
        <w:rPr>
          <w:rFonts w:ascii="Times New Roman" w:hAnsi="Times New Roman" w:cs="Times New Roman"/>
          <w:sz w:val="24"/>
          <w:szCs w:val="24"/>
          <w:lang w:val="en-US"/>
        </w:rPr>
        <w:t>trunc</w:t>
      </w:r>
      <w:proofErr w:type="spellEnd"/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 P75 in all samples were normalized against the concentration in the aliquot stored at -80°</w:t>
      </w:r>
      <w:proofErr w:type="spellStart"/>
      <w:r w:rsidRPr="00DA7619">
        <w:rPr>
          <w:rFonts w:ascii="Times New Roman" w:hAnsi="Times New Roman" w:cs="Times New Roman"/>
          <w:sz w:val="24"/>
          <w:szCs w:val="24"/>
          <w:lang w:val="en-US"/>
        </w:rPr>
        <w:t>C at</w:t>
      </w:r>
      <w:proofErr w:type="spellEnd"/>
      <w:r w:rsidRPr="00DA7619">
        <w:rPr>
          <w:rFonts w:ascii="Times New Roman" w:hAnsi="Times New Roman" w:cs="Times New Roman"/>
          <w:sz w:val="24"/>
          <w:szCs w:val="24"/>
          <w:lang w:val="en-US"/>
        </w:rPr>
        <w:t xml:space="preserve"> day 0.</w:t>
      </w:r>
    </w:p>
    <w:p w:rsidR="00E75908" w:rsidRPr="00DA7619" w:rsidRDefault="00E75908" w:rsidP="00E75908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761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5BB2F736" wp14:editId="7BC2B6CB">
            <wp:extent cx="3639600" cy="2401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upplementary Figure 2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600" cy="24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70D" w:rsidRDefault="0030770D">
      <w:bookmarkStart w:id="0" w:name="_GoBack"/>
      <w:bookmarkEnd w:id="0"/>
    </w:p>
    <w:sectPr w:rsidR="0030770D" w:rsidSect="00DA7619">
      <w:foot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413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70C" w:rsidRDefault="00E75908" w:rsidP="00DA76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08"/>
    <w:rsid w:val="0030770D"/>
    <w:rsid w:val="00E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08"/>
    <w:pPr>
      <w:spacing w:after="160" w:line="259" w:lineRule="auto"/>
    </w:pPr>
    <w:rPr>
      <w:rFonts w:eastAsiaTheme="minorEastAsia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7590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E75908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7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908"/>
    <w:rPr>
      <w:rFonts w:eastAsiaTheme="minorEastAsia"/>
      <w:lang w:val="nl-BE"/>
    </w:rPr>
  </w:style>
  <w:style w:type="table" w:customStyle="1" w:styleId="TableGrid3">
    <w:name w:val="Table Grid3"/>
    <w:basedOn w:val="TableNormal"/>
    <w:next w:val="TableGrid"/>
    <w:uiPriority w:val="59"/>
    <w:rsid w:val="00E75908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08"/>
    <w:rPr>
      <w:rFonts w:ascii="Tahoma" w:eastAsiaTheme="minorEastAsi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08"/>
    <w:pPr>
      <w:spacing w:after="160" w:line="259" w:lineRule="auto"/>
    </w:pPr>
    <w:rPr>
      <w:rFonts w:eastAsiaTheme="minorEastAsia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7590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E75908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7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908"/>
    <w:rPr>
      <w:rFonts w:eastAsiaTheme="minorEastAsia"/>
      <w:lang w:val="nl-BE"/>
    </w:rPr>
  </w:style>
  <w:style w:type="table" w:customStyle="1" w:styleId="TableGrid3">
    <w:name w:val="Table Grid3"/>
    <w:basedOn w:val="TableNormal"/>
    <w:next w:val="TableGrid"/>
    <w:uiPriority w:val="59"/>
    <w:rsid w:val="00E75908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08"/>
    <w:rPr>
      <w:rFonts w:ascii="Tahoma" w:eastAsiaTheme="minorEastAsi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797</Words>
  <Characters>4543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Elsevier Data Conversion</dc:creator>
  <cp:lastModifiedBy>Elsevier Data Conversion</cp:lastModifiedBy>
  <cp:revision>1</cp:revision>
  <dcterms:created xsi:type="dcterms:W3CDTF">2016-07-05T05:16:00Z</dcterms:created>
  <dcterms:modified xsi:type="dcterms:W3CDTF">2016-07-05T05:16:00Z</dcterms:modified>
</cp:coreProperties>
</file>