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560"/>
        <w:gridCol w:w="8079"/>
      </w:tblGrid>
      <w:tr w:rsidR="00956B0A">
        <w:tc>
          <w:tcPr>
            <w:tcW w:w="13183" w:type="dxa"/>
            <w:gridSpan w:val="3"/>
            <w:tcBorders>
              <w:top w:val="nil"/>
              <w:left w:val="nil"/>
              <w:right w:val="nil"/>
            </w:tcBorders>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Supplementary Table 1</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Read codes used to identify dementias of interest</w:t>
            </w:r>
          </w:p>
        </w:tc>
      </w:tr>
      <w:tr w:rsidR="00956B0A">
        <w:tc>
          <w:tcPr>
            <w:tcW w:w="3544"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Disease</w:t>
            </w:r>
          </w:p>
        </w:tc>
        <w:tc>
          <w:tcPr>
            <w:tcW w:w="1560"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Read code</w:t>
            </w:r>
          </w:p>
        </w:tc>
        <w:tc>
          <w:tcPr>
            <w:tcW w:w="8079"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Description</w:t>
            </w:r>
          </w:p>
        </w:tc>
      </w:tr>
      <w:tr w:rsidR="00956B0A">
        <w:tc>
          <w:tcPr>
            <w:tcW w:w="3544"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Alzheimer's disease</w:t>
            </w:r>
          </w:p>
        </w:tc>
        <w:tc>
          <w:tcPr>
            <w:tcW w:w="1560"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Eu00011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Eu00012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Eu00013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Eu00111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Eu00112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Eu00113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Eu00z00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Eu00z11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F110.00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F110000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F110100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Fyu3000</w:t>
            </w:r>
          </w:p>
        </w:tc>
        <w:tc>
          <w:tcPr>
            <w:tcW w:w="8079"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[X]*Dementia in Alzheimer's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Dementia in Alzheimer's disease with early onset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[X]Presenile dementia,Alzheimer</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Primary degenerative dementia, Alzheimer's type, presenile onset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[X]Alzheimer's disease type 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[X]Late onset Alzheimer’s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[X]Alzheimer's disease type 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[X]Senile dementia, Alzheimer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Primary degenerative dementia of Alzheimer's type, senile onset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[X]Atypical/mixed Alzheimer's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[X]Alzheimer's disease unspecified</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[X]Alzheimer's dementia unspecified</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Alzheimer's disease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Alzheimer disease with early onset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Alzheimer's disease with late onset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[X]Other Alzheimer's disease</w:t>
            </w:r>
          </w:p>
        </w:tc>
      </w:tr>
      <w:tr w:rsidR="00956B0A">
        <w:tc>
          <w:tcPr>
            <w:tcW w:w="3544"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Dementia with Lewy bodies</w:t>
            </w:r>
          </w:p>
        </w:tc>
        <w:tc>
          <w:tcPr>
            <w:tcW w:w="1560"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Eu02500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F116.00</w:t>
            </w:r>
          </w:p>
        </w:tc>
        <w:tc>
          <w:tcPr>
            <w:tcW w:w="8079"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[X]Lewy body dementia</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Lewy body disease</w:t>
            </w:r>
          </w:p>
        </w:tc>
      </w:tr>
      <w:tr w:rsidR="00956B0A">
        <w:tc>
          <w:tcPr>
            <w:tcW w:w="3544"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Frontotemporal dementia</w:t>
            </w:r>
          </w:p>
        </w:tc>
        <w:tc>
          <w:tcPr>
            <w:tcW w:w="1560"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Eu02000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F111.00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F118.00 </w:t>
            </w:r>
          </w:p>
        </w:tc>
        <w:tc>
          <w:tcPr>
            <w:tcW w:w="8079"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[X]Dementia in Pick's disease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Pick's disease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Frontotemporal degeneration</w:t>
            </w:r>
          </w:p>
        </w:tc>
      </w:tr>
      <w:tr w:rsidR="00956B0A">
        <w:tc>
          <w:tcPr>
            <w:tcW w:w="3544"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Normal-pressure hydrocephalus</w:t>
            </w:r>
          </w:p>
        </w:tc>
        <w:tc>
          <w:tcPr>
            <w:tcW w:w="1560"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F113000 </w:t>
            </w:r>
          </w:p>
        </w:tc>
        <w:tc>
          <w:tcPr>
            <w:tcW w:w="8079"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Normal pressure hydrocephalus</w:t>
            </w:r>
          </w:p>
        </w:tc>
      </w:tr>
      <w:tr w:rsidR="00956B0A">
        <w:tc>
          <w:tcPr>
            <w:tcW w:w="3544"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Parkinson's dementia</w:t>
            </w:r>
          </w:p>
        </w:tc>
        <w:tc>
          <w:tcPr>
            <w:tcW w:w="1560"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Eu02300</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F11x900 </w:t>
            </w:r>
          </w:p>
        </w:tc>
        <w:tc>
          <w:tcPr>
            <w:tcW w:w="8079"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[X]Dementia in Parkinson's</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Cerebral degenerative Parkinson disease</w:t>
            </w:r>
          </w:p>
        </w:tc>
      </w:tr>
      <w:tr w:rsidR="00956B0A">
        <w:tc>
          <w:tcPr>
            <w:tcW w:w="3544"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Vascular dementia</w:t>
            </w:r>
          </w:p>
        </w:tc>
        <w:tc>
          <w:tcPr>
            <w:tcW w:w="1560"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E004.00</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E004.11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E004000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E004100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E004200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E004300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E004z00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Eu01.11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Eu01000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Eu01100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Eu01111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Eu01200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Eu01300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Eu01y00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Eu01z00</w:t>
            </w:r>
          </w:p>
        </w:tc>
        <w:tc>
          <w:tcPr>
            <w:tcW w:w="8079"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Arteriosclerotic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Multi infarct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Arteriosclerotic dementia-uncomplicated</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Arteriosclerotic dementia+delirium</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Arteriosclerotic dementia+paranoia</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Arteriosclerotic dementia+depression</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Arteriosclerotic dementia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[X]Vascular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[X]Arteriosclerotic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[X]Vascular dementia of acute onset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[X]Multi-infarct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[X]Predominantly cortical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[X]Subcortical vascular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[X]Mix cortical/subcortical vascular dementia</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[X]Other vascular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[X]Vascular dementia unspecified</w:t>
            </w:r>
          </w:p>
        </w:tc>
      </w:tr>
      <w:tr w:rsidR="00956B0A">
        <w:tc>
          <w:tcPr>
            <w:tcW w:w="3544"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Other dementia-like conditions</w:t>
            </w:r>
          </w:p>
        </w:tc>
        <w:tc>
          <w:tcPr>
            <w:tcW w:w="1560"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1461.00</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1B1A.00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1B1A.12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28E..00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28E0.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28E1.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28E2.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388m.00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388m.11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388V .00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3A...12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3AD1.00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3AD2.00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3AD3.00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3AE..00 3AE1.00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3AE2.00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3AE3.00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3AE4.00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3AE5.00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3AE6.00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3AF..00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6AB..00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7P10400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8HTY.00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E00..12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e000.00</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E001000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E001100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E001200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E001300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E001z00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E002000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E002100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E002z00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E003.00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E00y.00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E00y.11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E00z.00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E0110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E011000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E011100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E0112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E011200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E011z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E011z00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E012.11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E0120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E012000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E02y1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E02y100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E02y2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E041.00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E2A1000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E2A1100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Eu02z00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Eu02z11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Eu02z12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Eu02z13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Eu02z14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Eu02z15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Eu02z16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Eu04100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Eu05700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Eu10611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Eu10711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F11x000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Z7CE415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Z7CE611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Z7CE615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Z7CE616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Z7CEA11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Z7CEA13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Z7CEH13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Z7CEH15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Z7CFO00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Z7CFO11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ZR1H.00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ZR1I.00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ZR1T.00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ZR2X.00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ZR2X.12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ZR2X.13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ZR3V .00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ZR3V.11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ZR3V .12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ZRa3.00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ZRa3.11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ZRaA.00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ZRaA.11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ZRaA100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ZRaA200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ZRaY .00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ZRhS.00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ZRhS.11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ZRhS100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ZRrg.00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ZRrh.00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ZRrO.00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ZRrO.11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ZRV9.00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ZRV9.11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ZRVa.00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ZRVa.11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ZS7C500</w:t>
            </w:r>
          </w:p>
        </w:tc>
        <w:tc>
          <w:tcPr>
            <w:tcW w:w="8079" w:type="dxa"/>
          </w:tcPr>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H/O: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Memory loss – amnesia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Memory loss symptom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Cognitive decline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Mild cognitive impairment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Moderate cognitive impairment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Severe cognitive impairment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Mini-mental state examination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MMSE score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Mini mental state score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Dementia assessment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Ten item dementia test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Thirty seven item dementia test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Six item cognitive impairment test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Global deterioration scale: assessment of primary degenerative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GDS level 2 - very mild cognitive decline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GDS level 3 - mild cognitive decline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GDS level 4 - moderate cognitive decline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GDS level 5 - moderately severe cognitive decline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GDS level 6 - severe cognitive decline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GDS level 7 - very severe cognitive decline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Addenbrooke's cognitive examination revised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Dementia annual review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Neuropsychology test of memory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Referral to memory clinic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Senile and presenile organic psychotic conditions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Senile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Senile/presenile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Senile dementia-uncomplicated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Uncomplicated senile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Presenile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Presenile dementia – uncomplicated</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Presenile dementia + delirium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Presenile dementia + paranoia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Preseniledementia+depression</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Presenile dementia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Senile dementia with depressive or paranoid features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Senile dementia + paranoia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Senile dementia + depression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Senile dementia with depressive or paranoid features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Senile dementia + delirium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Other senile and presenile organic psychoses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Presbyophrenic psychosis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Senile or presenile psychoses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Korsakov's alcoholic psychosis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Korsakov's alcoholic psychosis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Korsakov + peripheral neuritis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Korsakov's alcoholic psychosis with peripheral neuritis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Wernicke-Korsakov syndrome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Wernicke-Korsakov syndrome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Alcohol amnestic syndrome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Alcohol amnestic syndrome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Other alcoholic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Alcoholic dementia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Chronic alcoholic brain syndrome</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Chronic alcoholic brain syndrome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Drug-induced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Drug-induced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Drug-induced amnestic syndrome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Dementia in conditions EC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Mild memory disturbance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Organic memory impairment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[X]Dementia in disease EC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[X]Unspecified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[X]Presenile dementia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[X]Presenile psychosis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[X]Primary degenerative dementia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[X]Senile dementia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[X]Senile psychosis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[X]Senile dementia,depression/paranoia</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[X]Delirium superimposed on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[X]Mild cognitive disorder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[X]Korsakov's psychosis, alcohol induced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[X]Alcoholic dementia NOS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Cerebral degeneration due to alcoholism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Impaired cognition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Loss of memory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Memory loss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Loss of memory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LOM - Loss of memory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Impairment of working memory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Impairment of primary memory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Bad memory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Poor memory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Poor long-term memory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Long-term memory loss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Allen cognitive level screening tool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Allen cognitive performance test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Arizona battery for communication disorders of dementia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Blessed dementia rating scale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BDRS - Blessed dementia rating scale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Information-memory-concentration test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Clinical dementia rating scale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DRS - Clinical dementia rating scale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CDR - Clinical dementia rating scale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Middlesex elderly assessment of mental state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MEAMS - Middlesex elderly assessment of mental state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Mini-mental state examination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MMSE - Mini-mental state examination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Modified mini-mental state 3MS examination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Modified mini-mental state examination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Neurobehavioral cognitive status examination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Rivermead behavioral memory test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RBMT - Rivermead behavioral memory test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Rivermead behavioral memory test - adult version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Wechsler memory scale revised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Williams memory assessment scales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Wechsler memory scale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WMS - Wechsler memory scale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Kendrick battery for detection of dementia in the elderly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Kendrick cognitive tests for the elderly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Lowenstein occupational therapy cognitive assessment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LOTCA - Lowenstein occupational therapy cognitive assessment </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Language disorder of dementia</w:t>
            </w:r>
          </w:p>
        </w:tc>
      </w:tr>
    </w:tbl>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*[X] indicates terms that have been added to the Read codes in order to ensure that every International Classification of Diseases 10th revisioncode is cross-mapped to (from a Read code).</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GDS, GlobalDeterioration Scale; MMSE, Mini-Mental State Examination; NOS, not otherwise specified.</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br w:type="page"/>
        <w:t>Supplementary Table 2</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International Classification of Diseases 10th revision (ICD-10) codes used to identify dementias of interest</w:t>
      </w:r>
    </w:p>
    <w:tbl>
      <w:tblPr>
        <w:tblW w:w="14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6"/>
        <w:gridCol w:w="1482"/>
        <w:gridCol w:w="9760"/>
      </w:tblGrid>
      <w:tr w:rsidR="00956B0A">
        <w:tc>
          <w:tcPr>
            <w:tcW w:w="2816"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Disease</w:t>
            </w:r>
          </w:p>
        </w:tc>
        <w:tc>
          <w:tcPr>
            <w:tcW w:w="1482"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ICD-10 Code</w:t>
            </w:r>
          </w:p>
        </w:tc>
        <w:tc>
          <w:tcPr>
            <w:tcW w:w="9760"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Description</w:t>
            </w:r>
          </w:p>
        </w:tc>
      </w:tr>
      <w:tr w:rsidR="00956B0A">
        <w:tc>
          <w:tcPr>
            <w:tcW w:w="2816"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Alzheimer’s disease</w:t>
            </w:r>
          </w:p>
        </w:tc>
        <w:tc>
          <w:tcPr>
            <w:tcW w:w="1482"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G30.x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F00.x</w:t>
            </w:r>
          </w:p>
        </w:tc>
        <w:tc>
          <w:tcPr>
            <w:tcW w:w="9760"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Alzheimer disease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Dementia in Alzheimer disease</w:t>
            </w:r>
          </w:p>
        </w:tc>
      </w:tr>
      <w:tr w:rsidR="00956B0A">
        <w:tc>
          <w:tcPr>
            <w:tcW w:w="2816"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Dementia with Lewy bodies</w:t>
            </w:r>
          </w:p>
        </w:tc>
        <w:tc>
          <w:tcPr>
            <w:tcW w:w="1482"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G31.8</w:t>
            </w:r>
          </w:p>
        </w:tc>
        <w:tc>
          <w:tcPr>
            <w:tcW w:w="9760"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Other specified degenerative diseases of nervous system (Grey-matter degeneration, Lewy body disease, subacute necrotizing encephalopathy)</w:t>
            </w:r>
          </w:p>
        </w:tc>
      </w:tr>
      <w:tr w:rsidR="00956B0A">
        <w:tc>
          <w:tcPr>
            <w:tcW w:w="2816"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Frontotemporal dementia</w:t>
            </w:r>
          </w:p>
        </w:tc>
        <w:tc>
          <w:tcPr>
            <w:tcW w:w="1482"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G31.0.</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F02.0</w:t>
            </w:r>
          </w:p>
        </w:tc>
        <w:tc>
          <w:tcPr>
            <w:tcW w:w="9760"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Circumscribed brain atrophy (frontotemporal dementia, Pick disease, progressive isolated aphasia)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Dementia in Pick disease</w:t>
            </w:r>
          </w:p>
        </w:tc>
      </w:tr>
      <w:tr w:rsidR="00956B0A">
        <w:tc>
          <w:tcPr>
            <w:tcW w:w="2816"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Normal-pressure hydrocephalus</w:t>
            </w:r>
          </w:p>
        </w:tc>
        <w:tc>
          <w:tcPr>
            <w:tcW w:w="1482"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G91.2</w:t>
            </w:r>
          </w:p>
        </w:tc>
        <w:tc>
          <w:tcPr>
            <w:tcW w:w="9760"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 pressure hydrocephalus</w:t>
            </w:r>
          </w:p>
        </w:tc>
      </w:tr>
      <w:tr w:rsidR="00956B0A">
        <w:tc>
          <w:tcPr>
            <w:tcW w:w="2816"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Parkinson's dementia</w:t>
            </w:r>
          </w:p>
        </w:tc>
        <w:tc>
          <w:tcPr>
            <w:tcW w:w="1482"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F02.3</w:t>
            </w:r>
          </w:p>
        </w:tc>
        <w:tc>
          <w:tcPr>
            <w:tcW w:w="9760"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Dementia in Parkinson disease</w:t>
            </w:r>
          </w:p>
        </w:tc>
      </w:tr>
      <w:tr w:rsidR="00956B0A">
        <w:tc>
          <w:tcPr>
            <w:tcW w:w="2816"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Vascular dementia</w:t>
            </w:r>
          </w:p>
        </w:tc>
        <w:tc>
          <w:tcPr>
            <w:tcW w:w="1482"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F01.x</w:t>
            </w:r>
          </w:p>
        </w:tc>
        <w:tc>
          <w:tcPr>
            <w:tcW w:w="9760"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Vascular dementia</w:t>
            </w:r>
          </w:p>
        </w:tc>
      </w:tr>
      <w:tr w:rsidR="00956B0A">
        <w:tc>
          <w:tcPr>
            <w:tcW w:w="2816"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Other dementia-like conditions</w:t>
            </w:r>
          </w:p>
        </w:tc>
        <w:tc>
          <w:tcPr>
            <w:tcW w:w="1482"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F10.5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F10.6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F10.7.</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G31.2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F11.6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F12.6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F13.6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F14.6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F15.6.</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F16.6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F17.6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F18.6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F19.6.</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E51.2</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F04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R41.3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R41.1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R44.0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R41.2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F02.1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F02.2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F02.8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F03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F05.1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F06.7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F29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G31.1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G31.9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G32.x</w:t>
            </w:r>
          </w:p>
        </w:tc>
        <w:tc>
          <w:tcPr>
            <w:tcW w:w="9760" w:type="dxa"/>
          </w:tcPr>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use of psychotic disorder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use of alcohol, amnestic syndrome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use of alcohol, residual and late-onset psychotic disorder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Degeneration of nervous system due to alcohol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use of opioids, amnesic syndrome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use of cannabinoids, amnesic syndrome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use of sedatives or hypnotics, amnesic syndrome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use of cocaine, amnesic syndrome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use of other stimulants including caffeine, amnesic syndrome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use of hallucinogens, amnesic syndrome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use of tobacco, amnesic syndrome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use of volatile solvents, amnesic syndrome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Mental and behavioral disorders due to multiple drug use and use of other psychoactive substances, amnesic syndrome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Wernicke encephalopathy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Organic amnesic syndrome, not induced by alcohol or other psychoactive substances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Other amnesia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Anterograde amnesia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Auditory hallucinations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Retrograde amnesia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Dementia in Creutzfeldt-Jakob disease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Dementia in Huntington disease</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Dementia in other specified diseases classified elsewhere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Unspecified dementia</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Delirium superimposed on dementia</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Mild cognitive disorder</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Unspecified nonorganic psychosis</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Senile degeneration of brain, not elsewhere classified </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Degenerative disease of nervous system, unspecified</w:t>
            </w:r>
          </w:p>
          <w:p w:rsidR="00956B0A" w:rsidRDefault="00956B0A">
            <w:pPr>
              <w:pStyle w:val="Body"/>
              <w:tabs>
                <w:tab w:val="left" w:pos="360"/>
              </w:tabs>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Other degenerative disorders of nervous system in diseases classified elsewhere</w:t>
            </w:r>
          </w:p>
        </w:tc>
      </w:tr>
    </w:tbl>
    <w:p w:rsidR="00956B0A" w:rsidRDefault="00956B0A">
      <w:pPr>
        <w:pStyle w:val="Body"/>
        <w:tabs>
          <w:tab w:val="left" w:pos="360"/>
        </w:tabs>
        <w:spacing w:before="0" w:line="240" w:lineRule="auto"/>
        <w:rPr>
          <w:rFonts w:ascii="Times New Roman" w:hAnsi="Times New Roman" w:cs="Times New Roman"/>
          <w:sz w:val="24"/>
          <w:szCs w:val="24"/>
          <w:lang w:val="en-US"/>
        </w:rPr>
      </w:pPr>
    </w:p>
    <w:p w:rsidR="00956B0A" w:rsidRDefault="00956B0A">
      <w:pPr>
        <w:pStyle w:val="Body"/>
        <w:tabs>
          <w:tab w:val="left" w:pos="360"/>
        </w:tabs>
        <w:spacing w:before="0" w:line="240" w:lineRule="auto"/>
        <w:rPr>
          <w:rFonts w:ascii="Times New Roman" w:hAnsi="Times New Roman" w:cs="Times New Roman"/>
          <w:sz w:val="24"/>
          <w:szCs w:val="24"/>
          <w:lang w:val="en-US"/>
        </w:rPr>
        <w:sectPr w:rsidR="00956B0A">
          <w:pgSz w:w="15840" w:h="12240" w:orient="landscape" w:code="9"/>
          <w:pgMar w:top="1440" w:right="1440" w:bottom="1440" w:left="1440" w:header="720" w:footer="720" w:gutter="0"/>
          <w:cols w:space="720"/>
          <w:docGrid w:linePitch="360"/>
        </w:sectPr>
      </w:pP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Supplementary Table 3</w:t>
      </w:r>
    </w:p>
    <w:p w:rsidR="00956B0A" w:rsidRDefault="00956B0A">
      <w:pPr>
        <w:pStyle w:val="Legend"/>
        <w:tabs>
          <w:tab w:val="left" w:pos="360"/>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Estimation of costs for each category of resource use</w:t>
      </w:r>
    </w:p>
    <w:tbl>
      <w:tblPr>
        <w:tblW w:w="0" w:type="auto"/>
        <w:tblInd w:w="-106" w:type="dxa"/>
        <w:tblBorders>
          <w:top w:val="single" w:sz="4" w:space="0" w:color="auto"/>
          <w:bottom w:val="single" w:sz="4" w:space="0" w:color="auto"/>
        </w:tblBorders>
        <w:tblLook w:val="0000"/>
      </w:tblPr>
      <w:tblGrid>
        <w:gridCol w:w="2518"/>
        <w:gridCol w:w="6724"/>
      </w:tblGrid>
      <w:tr w:rsidR="00956B0A">
        <w:tc>
          <w:tcPr>
            <w:tcW w:w="2518" w:type="dxa"/>
            <w:tcBorders>
              <w:top w:val="single" w:sz="4" w:space="0" w:color="auto"/>
              <w:left w:val="nil"/>
              <w:bottom w:val="single" w:sz="4" w:space="0" w:color="auto"/>
              <w:right w:val="nil"/>
            </w:tcBorders>
          </w:tcPr>
          <w:p w:rsidR="00956B0A" w:rsidRDefault="00956B0A">
            <w:pPr>
              <w:tabs>
                <w:tab w:val="left" w:pos="360"/>
              </w:tabs>
              <w:rPr>
                <w:rFonts w:cs="Times New Roman"/>
                <w:lang w:val="en-US"/>
              </w:rPr>
            </w:pPr>
            <w:r>
              <w:rPr>
                <w:rFonts w:cs="Times New Roman"/>
                <w:lang w:val="en-US"/>
              </w:rPr>
              <w:t>Category of resource use</w:t>
            </w:r>
          </w:p>
        </w:tc>
        <w:tc>
          <w:tcPr>
            <w:tcW w:w="6724" w:type="dxa"/>
            <w:tcBorders>
              <w:top w:val="single" w:sz="4" w:space="0" w:color="auto"/>
              <w:left w:val="nil"/>
              <w:bottom w:val="single" w:sz="4" w:space="0" w:color="auto"/>
              <w:right w:val="nil"/>
            </w:tcBorders>
          </w:tcPr>
          <w:p w:rsidR="00956B0A" w:rsidRDefault="00956B0A">
            <w:pPr>
              <w:tabs>
                <w:tab w:val="left" w:pos="360"/>
              </w:tabs>
              <w:rPr>
                <w:rFonts w:cs="Times New Roman"/>
                <w:lang w:val="en-US"/>
              </w:rPr>
            </w:pPr>
            <w:r>
              <w:rPr>
                <w:rFonts w:cs="Times New Roman"/>
                <w:lang w:val="en-US"/>
              </w:rPr>
              <w:t>Cost estimation</w:t>
            </w:r>
          </w:p>
        </w:tc>
      </w:tr>
      <w:tr w:rsidR="00956B0A">
        <w:tc>
          <w:tcPr>
            <w:tcW w:w="2518" w:type="dxa"/>
            <w:tcBorders>
              <w:top w:val="single" w:sz="4" w:space="0" w:color="auto"/>
              <w:left w:val="nil"/>
              <w:bottom w:val="nil"/>
              <w:right w:val="nil"/>
            </w:tcBorders>
          </w:tcPr>
          <w:p w:rsidR="00956B0A" w:rsidRDefault="00956B0A">
            <w:pPr>
              <w:tabs>
                <w:tab w:val="left" w:pos="360"/>
              </w:tabs>
              <w:rPr>
                <w:rFonts w:cs="Times New Roman"/>
                <w:lang w:val="en-US"/>
              </w:rPr>
            </w:pPr>
            <w:r>
              <w:rPr>
                <w:rFonts w:cs="Times New Roman"/>
                <w:lang w:val="en-US"/>
              </w:rPr>
              <w:t>Consultations</w:t>
            </w:r>
          </w:p>
        </w:tc>
        <w:tc>
          <w:tcPr>
            <w:tcW w:w="6724" w:type="dxa"/>
            <w:tcBorders>
              <w:top w:val="single" w:sz="4" w:space="0" w:color="auto"/>
              <w:left w:val="nil"/>
              <w:bottom w:val="nil"/>
              <w:right w:val="nil"/>
            </w:tcBorders>
          </w:tcPr>
          <w:p w:rsidR="00956B0A" w:rsidRDefault="00956B0A">
            <w:pPr>
              <w:pStyle w:val="References"/>
              <w:tabs>
                <w:tab w:val="left" w:pos="360"/>
              </w:tabs>
              <w:spacing w:before="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Calculated using the unit costs available from the Personal Social Services Research Unit (PSSRU) [1].</w:t>
            </w:r>
          </w:p>
          <w:p w:rsidR="00956B0A" w:rsidRDefault="00956B0A">
            <w:pPr>
              <w:tabs>
                <w:tab w:val="left" w:pos="360"/>
              </w:tabs>
              <w:rPr>
                <w:rFonts w:cs="Times New Roman"/>
                <w:lang w:val="en-US"/>
              </w:rPr>
            </w:pPr>
            <w:r>
              <w:rPr>
                <w:rFonts w:cs="Times New Roman"/>
                <w:lang w:val="en-US"/>
              </w:rPr>
              <w:t xml:space="preserve">Per-minute cost of an encounter for nurses by consultation type (clinical, surgery, home visit, telephone) was multiplied by the average length of a consultation to obtain an estimated unit cost per consultation with a nurse. This cost was then applied to each consultation record for that type. </w:t>
            </w:r>
          </w:p>
          <w:p w:rsidR="00956B0A" w:rsidRDefault="00956B0A">
            <w:pPr>
              <w:tabs>
                <w:tab w:val="left" w:pos="360"/>
              </w:tabs>
              <w:rPr>
                <w:rFonts w:cs="Times New Roman"/>
                <w:lang w:val="en-US"/>
              </w:rPr>
            </w:pPr>
            <w:r>
              <w:rPr>
                <w:rFonts w:cs="Times New Roman"/>
                <w:lang w:val="en-US"/>
              </w:rPr>
              <w:t xml:space="preserve">The average cost of a GP consultation was directly available from PSSRU for each consultation type. </w:t>
            </w:r>
          </w:p>
          <w:p w:rsidR="00956B0A" w:rsidRDefault="00956B0A">
            <w:pPr>
              <w:tabs>
                <w:tab w:val="left" w:pos="360"/>
              </w:tabs>
              <w:rPr>
                <w:rFonts w:cs="Times New Roman"/>
                <w:lang w:val="en-US"/>
              </w:rPr>
            </w:pPr>
            <w:r>
              <w:rPr>
                <w:rFonts w:cs="Times New Roman"/>
                <w:lang w:val="en-US"/>
              </w:rPr>
              <w:t xml:space="preserve">Total consultation costs were estimated as the sum of costs for all consultations across both types of providers. </w:t>
            </w:r>
          </w:p>
        </w:tc>
      </w:tr>
      <w:tr w:rsidR="00956B0A">
        <w:tc>
          <w:tcPr>
            <w:tcW w:w="2518" w:type="dxa"/>
            <w:tcBorders>
              <w:top w:val="nil"/>
              <w:left w:val="nil"/>
              <w:bottom w:val="nil"/>
              <w:right w:val="nil"/>
            </w:tcBorders>
          </w:tcPr>
          <w:p w:rsidR="00956B0A" w:rsidRDefault="00956B0A">
            <w:pPr>
              <w:tabs>
                <w:tab w:val="left" w:pos="360"/>
              </w:tabs>
              <w:rPr>
                <w:rFonts w:cs="Times New Roman"/>
                <w:lang w:val="en-US"/>
              </w:rPr>
            </w:pPr>
            <w:r>
              <w:rPr>
                <w:rFonts w:cs="Times New Roman"/>
                <w:lang w:val="en-US"/>
              </w:rPr>
              <w:t>Referrals and laboratory/diagnostic tests</w:t>
            </w:r>
          </w:p>
        </w:tc>
        <w:tc>
          <w:tcPr>
            <w:tcW w:w="6724" w:type="dxa"/>
            <w:tcBorders>
              <w:top w:val="nil"/>
              <w:left w:val="nil"/>
              <w:bottom w:val="nil"/>
              <w:right w:val="nil"/>
            </w:tcBorders>
          </w:tcPr>
          <w:p w:rsidR="00956B0A" w:rsidRDefault="00956B0A">
            <w:pPr>
              <w:tabs>
                <w:tab w:val="left" w:pos="360"/>
              </w:tabs>
              <w:rPr>
                <w:rFonts w:cs="Times New Roman"/>
                <w:lang w:val="en-US"/>
              </w:rPr>
            </w:pPr>
            <w:r>
              <w:rPr>
                <w:rFonts w:cs="Times New Roman"/>
                <w:lang w:val="en-US"/>
              </w:rPr>
              <w:t xml:space="preserve">Costs for referrals for outpatient visits as well as laboratory and diagnostic tests were calculated using the unit costs available from the National Health Service (NHS). </w:t>
            </w:r>
          </w:p>
        </w:tc>
      </w:tr>
      <w:tr w:rsidR="00956B0A">
        <w:tc>
          <w:tcPr>
            <w:tcW w:w="2518" w:type="dxa"/>
            <w:tcBorders>
              <w:top w:val="nil"/>
              <w:left w:val="nil"/>
              <w:bottom w:val="nil"/>
              <w:right w:val="nil"/>
            </w:tcBorders>
          </w:tcPr>
          <w:p w:rsidR="00956B0A" w:rsidRDefault="00956B0A">
            <w:pPr>
              <w:tabs>
                <w:tab w:val="left" w:pos="360"/>
              </w:tabs>
              <w:rPr>
                <w:rFonts w:cs="Times New Roman"/>
                <w:lang w:val="en-US"/>
              </w:rPr>
            </w:pPr>
            <w:r>
              <w:rPr>
                <w:rFonts w:cs="Times New Roman"/>
                <w:lang w:val="en-US"/>
              </w:rPr>
              <w:t>Hospitalizations</w:t>
            </w:r>
          </w:p>
        </w:tc>
        <w:tc>
          <w:tcPr>
            <w:tcW w:w="6724" w:type="dxa"/>
            <w:tcBorders>
              <w:top w:val="nil"/>
              <w:left w:val="nil"/>
              <w:bottom w:val="nil"/>
              <w:right w:val="nil"/>
            </w:tcBorders>
          </w:tcPr>
          <w:p w:rsidR="00956B0A" w:rsidRDefault="00956B0A">
            <w:pPr>
              <w:tabs>
                <w:tab w:val="left" w:pos="360"/>
              </w:tabs>
              <w:rPr>
                <w:rFonts w:cs="Times New Roman"/>
                <w:lang w:val="en-US"/>
              </w:rPr>
            </w:pPr>
            <w:r>
              <w:rPr>
                <w:rFonts w:cs="Times New Roman"/>
                <w:lang w:val="en-US"/>
              </w:rPr>
              <w:t xml:space="preserve">Hospital Episodes Statistics (HES) data contain information at both episode and spell levels (a spell consists of one or more consecutive and/or overlapping episode). Because the NHS pays hospitals at the spell level, the costs of hospitalizations were calculated using the unit costs for each spell-level Healthcare Resource Group (HRG) as available from the NHS [2]. </w:t>
            </w:r>
          </w:p>
          <w:p w:rsidR="00956B0A" w:rsidRDefault="00956B0A">
            <w:pPr>
              <w:tabs>
                <w:tab w:val="left" w:pos="360"/>
              </w:tabs>
              <w:rPr>
                <w:rFonts w:cs="Times New Roman"/>
                <w:lang w:val="en-US"/>
              </w:rPr>
            </w:pPr>
            <w:r>
              <w:rPr>
                <w:rFonts w:cs="Times New Roman"/>
                <w:lang w:val="en-US"/>
              </w:rPr>
              <w:t xml:space="preserve">HRGs depend on a variety of data elements associated with a hospital stay, including procedures and diagnoses, length of stay, number of days with critical care service, physician specialty, and patient age. The HRG for each spell was identified using the HRG 4+ Grouper (available from the NHS [2]). </w:t>
            </w:r>
          </w:p>
          <w:p w:rsidR="00956B0A" w:rsidRDefault="00956B0A">
            <w:pPr>
              <w:tabs>
                <w:tab w:val="left" w:pos="360"/>
              </w:tabs>
              <w:rPr>
                <w:rFonts w:cs="Times New Roman"/>
                <w:lang w:val="en-US"/>
              </w:rPr>
            </w:pPr>
            <w:r>
              <w:rPr>
                <w:rFonts w:cs="Times New Roman"/>
                <w:lang w:val="en-US"/>
              </w:rPr>
              <w:t xml:space="preserve">The spell cost was determined by the HRG as well as admission method (e.g., elective versus non-elective), patient classification (e.g., day case versus regular day/night admission), and length of stay. </w:t>
            </w:r>
          </w:p>
        </w:tc>
      </w:tr>
      <w:tr w:rsidR="00956B0A">
        <w:tc>
          <w:tcPr>
            <w:tcW w:w="2518" w:type="dxa"/>
            <w:tcBorders>
              <w:top w:val="nil"/>
              <w:left w:val="nil"/>
              <w:bottom w:val="single" w:sz="4" w:space="0" w:color="auto"/>
              <w:right w:val="nil"/>
            </w:tcBorders>
          </w:tcPr>
          <w:p w:rsidR="00956B0A" w:rsidRDefault="00956B0A">
            <w:pPr>
              <w:tabs>
                <w:tab w:val="left" w:pos="360"/>
              </w:tabs>
              <w:rPr>
                <w:rFonts w:cs="Times New Roman"/>
                <w:lang w:val="en-US"/>
              </w:rPr>
            </w:pPr>
            <w:r>
              <w:rPr>
                <w:rFonts w:cs="Times New Roman"/>
                <w:lang w:val="en-US"/>
              </w:rPr>
              <w:t>Prescription drugs</w:t>
            </w:r>
          </w:p>
          <w:p w:rsidR="00956B0A" w:rsidRDefault="00956B0A">
            <w:pPr>
              <w:tabs>
                <w:tab w:val="left" w:pos="360"/>
              </w:tabs>
              <w:rPr>
                <w:rFonts w:cs="Times New Roman"/>
                <w:lang w:val="en-US"/>
              </w:rPr>
            </w:pPr>
          </w:p>
        </w:tc>
        <w:tc>
          <w:tcPr>
            <w:tcW w:w="6724" w:type="dxa"/>
            <w:tcBorders>
              <w:top w:val="nil"/>
              <w:left w:val="nil"/>
              <w:bottom w:val="single" w:sz="4" w:space="0" w:color="auto"/>
              <w:right w:val="nil"/>
            </w:tcBorders>
          </w:tcPr>
          <w:p w:rsidR="00956B0A" w:rsidRDefault="00956B0A">
            <w:pPr>
              <w:tabs>
                <w:tab w:val="left" w:pos="360"/>
              </w:tabs>
              <w:rPr>
                <w:rFonts w:cs="Times New Roman"/>
                <w:lang w:val="en-US"/>
              </w:rPr>
            </w:pPr>
            <w:r>
              <w:rPr>
                <w:rFonts w:cs="Times New Roman"/>
                <w:lang w:val="en-US"/>
              </w:rPr>
              <w:t>Estimated using First Databank [3], which provides the price for drugs by package size (e.g., 28 tablets) within each multilex code. The Clinical Practice Research DataLink(CPRD) data did not contain information about package size but instead provided the quantity prescribed. Therefore, the cost of each prescription was estimated by multiplying the quantity prescribed by the median price per unit for that product (identified by multilex codes). Price per unit (e.g., per tablet) was calculated by dividing price per package-by-package size. The median price per unit was calculated across all records for a product.</w:t>
            </w:r>
          </w:p>
        </w:tc>
      </w:tr>
    </w:tbl>
    <w:p w:rsidR="00956B0A" w:rsidRDefault="00956B0A">
      <w:pPr>
        <w:tabs>
          <w:tab w:val="left" w:pos="360"/>
        </w:tabs>
        <w:spacing w:line="480" w:lineRule="auto"/>
        <w:rPr>
          <w:rFonts w:cs="Times New Roman"/>
          <w:lang w:val="en-US"/>
        </w:rPr>
      </w:pPr>
    </w:p>
    <w:p w:rsidR="00956B0A" w:rsidRDefault="00956B0A">
      <w:pPr>
        <w:pStyle w:val="Heading1"/>
        <w:tabs>
          <w:tab w:val="left" w:pos="360"/>
        </w:tabs>
        <w:spacing w:before="0"/>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956B0A" w:rsidRDefault="00956B0A">
      <w:pPr>
        <w:pStyle w:val="References"/>
        <w:tabs>
          <w:tab w:val="left" w:pos="360"/>
        </w:tabs>
        <w:spacing w:before="0"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Personal Social Services Research Unit (PSSRU) (2012) Unit costs of health and social care 2012, http://www.pssru.ac.uk/project-pages/unit-costs/2012/</w:t>
      </w:r>
      <w:r>
        <w:rPr>
          <w:rStyle w:val="Hyperlink"/>
          <w:rFonts w:ascii="Times New Roman" w:hAnsi="Times New Roman" w:cs="Times New Roman"/>
          <w:color w:val="auto"/>
          <w:sz w:val="24"/>
          <w:szCs w:val="24"/>
          <w:u w:val="none"/>
          <w:lang w:val="en-US"/>
        </w:rPr>
        <w:t>, Accessed on June 30, 2015</w:t>
      </w:r>
      <w:r>
        <w:rPr>
          <w:rStyle w:val="CommentReference"/>
          <w:rFonts w:ascii="Times New Roman" w:hAnsi="Times New Roman" w:cs="Times New Roman"/>
          <w:sz w:val="24"/>
          <w:szCs w:val="24"/>
          <w:lang w:val="en-US"/>
        </w:rPr>
        <w:t>.</w:t>
      </w:r>
    </w:p>
    <w:p w:rsidR="00956B0A" w:rsidRDefault="00956B0A">
      <w:pPr>
        <w:pStyle w:val="References"/>
        <w:tabs>
          <w:tab w:val="left" w:pos="360"/>
        </w:tabs>
        <w:spacing w:before="0"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UK Department of Health. National schedule of reference costs 2012-13 for NHS trusts and NHS foundation trusts. Available at: https://www.gov.uk/government/publications/nhs-reference-costs-2012-to-2013</w:t>
      </w:r>
      <w:r>
        <w:rPr>
          <w:rStyle w:val="Hyperlink"/>
          <w:rFonts w:ascii="Times New Roman" w:hAnsi="Times New Roman" w:cs="Times New Roman"/>
          <w:color w:val="auto"/>
          <w:sz w:val="24"/>
          <w:szCs w:val="24"/>
          <w:u w:val="none"/>
          <w:lang w:val="en-US"/>
        </w:rPr>
        <w:t>, Last updated January 22, 2015, Accessed on June 30, 2015</w:t>
      </w:r>
      <w:r>
        <w:rPr>
          <w:rFonts w:ascii="Times New Roman" w:hAnsi="Times New Roman" w:cs="Times New Roman"/>
          <w:sz w:val="24"/>
          <w:szCs w:val="24"/>
          <w:lang w:val="en-US"/>
        </w:rPr>
        <w:t>.</w:t>
      </w:r>
    </w:p>
    <w:p w:rsidR="00956B0A" w:rsidRDefault="00956B0A">
      <w:pPr>
        <w:pStyle w:val="References"/>
        <w:tabs>
          <w:tab w:val="left" w:pos="360"/>
        </w:tabs>
        <w:spacing w:before="0"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First Databank, www.fdbhealth.co.uk</w:t>
      </w:r>
      <w:r>
        <w:rPr>
          <w:rStyle w:val="Hyperlink"/>
          <w:rFonts w:ascii="Times New Roman" w:hAnsi="Times New Roman" w:cs="Times New Roman"/>
          <w:color w:val="auto"/>
          <w:sz w:val="24"/>
          <w:szCs w:val="24"/>
          <w:u w:val="none"/>
          <w:lang w:val="en-US"/>
        </w:rPr>
        <w:t>,</w:t>
      </w:r>
      <w:r>
        <w:rPr>
          <w:rFonts w:ascii="Times New Roman" w:hAnsi="Times New Roman" w:cs="Times New Roman"/>
          <w:sz w:val="24"/>
          <w:szCs w:val="24"/>
          <w:lang w:val="en-US"/>
        </w:rPr>
        <w:t xml:space="preserve"> Accessed February 5, 2015.</w:t>
      </w:r>
    </w:p>
    <w:p w:rsidR="00956B0A" w:rsidRDefault="00956B0A">
      <w:pPr>
        <w:pStyle w:val="References"/>
        <w:tabs>
          <w:tab w:val="left" w:pos="360"/>
        </w:tabs>
        <w:spacing w:before="0" w:line="480" w:lineRule="auto"/>
        <w:ind w:left="0" w:firstLine="0"/>
        <w:rPr>
          <w:rFonts w:ascii="Times New Roman" w:hAnsi="Times New Roman" w:cs="Times New Roman"/>
          <w:sz w:val="24"/>
          <w:szCs w:val="24"/>
          <w:lang w:val="en-US"/>
        </w:rPr>
      </w:pPr>
    </w:p>
    <w:p w:rsidR="00956B0A" w:rsidRDefault="00956B0A">
      <w:pPr>
        <w:rPr>
          <w:rFonts w:cs="Times New Roman"/>
        </w:rPr>
      </w:pPr>
    </w:p>
    <w:sectPr w:rsidR="00956B0A" w:rsidSect="00956B0A">
      <w:pgSz w:w="12240" w:h="15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auto"/>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E8C5A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1E560F62"/>
    <w:lvl w:ilvl="0">
      <w:start w:val="1"/>
      <w:numFmt w:val="decimal"/>
      <w:lvlText w:val="%1."/>
      <w:lvlJc w:val="left"/>
      <w:pPr>
        <w:tabs>
          <w:tab w:val="num" w:pos="1492"/>
        </w:tabs>
        <w:ind w:left="1492" w:hanging="360"/>
      </w:pPr>
      <w:rPr>
        <w:rFonts w:ascii="Times New Roman" w:hAnsi="Times New Roman" w:cs="Times New Roman"/>
      </w:rPr>
    </w:lvl>
  </w:abstractNum>
  <w:abstractNum w:abstractNumId="2">
    <w:nsid w:val="FFFFFF7D"/>
    <w:multiLevelType w:val="singleLevel"/>
    <w:tmpl w:val="BABA2B72"/>
    <w:lvl w:ilvl="0">
      <w:start w:val="1"/>
      <w:numFmt w:val="decimal"/>
      <w:lvlText w:val="%1."/>
      <w:lvlJc w:val="left"/>
      <w:pPr>
        <w:tabs>
          <w:tab w:val="num" w:pos="1209"/>
        </w:tabs>
        <w:ind w:left="1209" w:hanging="360"/>
      </w:pPr>
      <w:rPr>
        <w:rFonts w:ascii="Times New Roman" w:hAnsi="Times New Roman" w:cs="Times New Roman"/>
      </w:rPr>
    </w:lvl>
  </w:abstractNum>
  <w:abstractNum w:abstractNumId="3">
    <w:nsid w:val="FFFFFF7E"/>
    <w:multiLevelType w:val="singleLevel"/>
    <w:tmpl w:val="EC04107C"/>
    <w:lvl w:ilvl="0">
      <w:start w:val="1"/>
      <w:numFmt w:val="decimal"/>
      <w:lvlText w:val="%1."/>
      <w:lvlJc w:val="left"/>
      <w:pPr>
        <w:tabs>
          <w:tab w:val="num" w:pos="926"/>
        </w:tabs>
        <w:ind w:left="926" w:hanging="360"/>
      </w:pPr>
      <w:rPr>
        <w:rFonts w:ascii="Times New Roman" w:hAnsi="Times New Roman" w:cs="Times New Roman"/>
      </w:rPr>
    </w:lvl>
  </w:abstractNum>
  <w:abstractNum w:abstractNumId="4">
    <w:nsid w:val="FFFFFF7F"/>
    <w:multiLevelType w:val="singleLevel"/>
    <w:tmpl w:val="73389B8C"/>
    <w:lvl w:ilvl="0">
      <w:start w:val="1"/>
      <w:numFmt w:val="decimal"/>
      <w:lvlText w:val="%1."/>
      <w:lvlJc w:val="left"/>
      <w:pPr>
        <w:tabs>
          <w:tab w:val="num" w:pos="643"/>
        </w:tabs>
        <w:ind w:left="643" w:hanging="360"/>
      </w:pPr>
      <w:rPr>
        <w:rFonts w:ascii="Times New Roman" w:hAnsi="Times New Roman" w:cs="Times New Roman"/>
      </w:rPr>
    </w:lvl>
  </w:abstractNum>
  <w:abstractNum w:abstractNumId="5">
    <w:nsid w:val="FFFFFF80"/>
    <w:multiLevelType w:val="singleLevel"/>
    <w:tmpl w:val="0B90E2EC"/>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80E6701A"/>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776624AE"/>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00CA93F4"/>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2938C948"/>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FFFFFF89"/>
    <w:multiLevelType w:val="singleLevel"/>
    <w:tmpl w:val="5BB6B27C"/>
    <w:lvl w:ilvl="0">
      <w:start w:val="1"/>
      <w:numFmt w:val="bullet"/>
      <w:lvlText w:val=""/>
      <w:lvlJc w:val="left"/>
      <w:pPr>
        <w:tabs>
          <w:tab w:val="num" w:pos="360"/>
        </w:tabs>
        <w:ind w:left="360" w:hanging="360"/>
      </w:pPr>
      <w:rPr>
        <w:rFonts w:ascii="Symbol" w:hAnsi="Symbol" w:cs="Symbol" w:hint="default"/>
      </w:rPr>
    </w:lvl>
  </w:abstractNum>
  <w:abstractNum w:abstractNumId="11">
    <w:nsid w:val="055D61C4"/>
    <w:multiLevelType w:val="multilevel"/>
    <w:tmpl w:val="A5BE0D9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81053FD"/>
    <w:multiLevelType w:val="hybridMultilevel"/>
    <w:tmpl w:val="42B6D25E"/>
    <w:lvl w:ilvl="0" w:tplc="990A9C3C">
      <w:start w:val="1"/>
      <w:numFmt w:val="decimal"/>
      <w:lvlText w:val="%1."/>
      <w:lvlJc w:val="left"/>
      <w:pPr>
        <w:tabs>
          <w:tab w:val="num" w:pos="720"/>
        </w:tabs>
        <w:ind w:left="720" w:hanging="360"/>
      </w:pPr>
      <w:rPr>
        <w:rFonts w:ascii="Times New Roman" w:hAnsi="Times New Roman" w:cs="Times New Roman" w:hint="default"/>
      </w:rPr>
    </w:lvl>
    <w:lvl w:ilvl="1" w:tplc="106670CE">
      <w:start w:val="1"/>
      <w:numFmt w:val="lowerLetter"/>
      <w:lvlText w:val="%2."/>
      <w:lvlJc w:val="left"/>
      <w:pPr>
        <w:tabs>
          <w:tab w:val="num" w:pos="1440"/>
        </w:tabs>
        <w:ind w:left="1440" w:hanging="360"/>
      </w:pPr>
      <w:rPr>
        <w:rFonts w:ascii="Times New Roman" w:hAnsi="Times New Roman" w:cs="Times New Roman"/>
      </w:rPr>
    </w:lvl>
    <w:lvl w:ilvl="2" w:tplc="11CE56CA">
      <w:start w:val="1"/>
      <w:numFmt w:val="lowerRoman"/>
      <w:lvlText w:val="%3."/>
      <w:lvlJc w:val="right"/>
      <w:pPr>
        <w:tabs>
          <w:tab w:val="num" w:pos="2160"/>
        </w:tabs>
        <w:ind w:left="2160" w:hanging="180"/>
      </w:pPr>
      <w:rPr>
        <w:rFonts w:ascii="Times New Roman" w:hAnsi="Times New Roman" w:cs="Times New Roman"/>
      </w:rPr>
    </w:lvl>
    <w:lvl w:ilvl="3" w:tplc="026E8256">
      <w:start w:val="1"/>
      <w:numFmt w:val="decimal"/>
      <w:lvlText w:val="%4."/>
      <w:lvlJc w:val="left"/>
      <w:pPr>
        <w:tabs>
          <w:tab w:val="num" w:pos="2880"/>
        </w:tabs>
        <w:ind w:left="2880" w:hanging="360"/>
      </w:pPr>
      <w:rPr>
        <w:rFonts w:ascii="Times New Roman" w:hAnsi="Times New Roman" w:cs="Times New Roman"/>
      </w:rPr>
    </w:lvl>
    <w:lvl w:ilvl="4" w:tplc="A9247C76">
      <w:start w:val="1"/>
      <w:numFmt w:val="lowerLetter"/>
      <w:lvlText w:val="%5."/>
      <w:lvlJc w:val="left"/>
      <w:pPr>
        <w:tabs>
          <w:tab w:val="num" w:pos="3600"/>
        </w:tabs>
        <w:ind w:left="3600" w:hanging="360"/>
      </w:pPr>
      <w:rPr>
        <w:rFonts w:ascii="Times New Roman" w:hAnsi="Times New Roman" w:cs="Times New Roman"/>
      </w:rPr>
    </w:lvl>
    <w:lvl w:ilvl="5" w:tplc="59044BF8">
      <w:start w:val="1"/>
      <w:numFmt w:val="lowerRoman"/>
      <w:lvlText w:val="%6."/>
      <w:lvlJc w:val="right"/>
      <w:pPr>
        <w:tabs>
          <w:tab w:val="num" w:pos="4320"/>
        </w:tabs>
        <w:ind w:left="4320" w:hanging="180"/>
      </w:pPr>
      <w:rPr>
        <w:rFonts w:ascii="Times New Roman" w:hAnsi="Times New Roman" w:cs="Times New Roman"/>
      </w:rPr>
    </w:lvl>
    <w:lvl w:ilvl="6" w:tplc="BF746404">
      <w:start w:val="1"/>
      <w:numFmt w:val="decimal"/>
      <w:lvlText w:val="%7."/>
      <w:lvlJc w:val="left"/>
      <w:pPr>
        <w:tabs>
          <w:tab w:val="num" w:pos="5040"/>
        </w:tabs>
        <w:ind w:left="5040" w:hanging="360"/>
      </w:pPr>
      <w:rPr>
        <w:rFonts w:ascii="Times New Roman" w:hAnsi="Times New Roman" w:cs="Times New Roman"/>
      </w:rPr>
    </w:lvl>
    <w:lvl w:ilvl="7" w:tplc="66647326">
      <w:start w:val="1"/>
      <w:numFmt w:val="lowerLetter"/>
      <w:lvlText w:val="%8."/>
      <w:lvlJc w:val="left"/>
      <w:pPr>
        <w:tabs>
          <w:tab w:val="num" w:pos="5760"/>
        </w:tabs>
        <w:ind w:left="5760" w:hanging="360"/>
      </w:pPr>
      <w:rPr>
        <w:rFonts w:ascii="Times New Roman" w:hAnsi="Times New Roman" w:cs="Times New Roman"/>
      </w:rPr>
    </w:lvl>
    <w:lvl w:ilvl="8" w:tplc="DB8C1234">
      <w:start w:val="1"/>
      <w:numFmt w:val="lowerRoman"/>
      <w:lvlText w:val="%9."/>
      <w:lvlJc w:val="right"/>
      <w:pPr>
        <w:tabs>
          <w:tab w:val="num" w:pos="6480"/>
        </w:tabs>
        <w:ind w:left="6480" w:hanging="180"/>
      </w:pPr>
      <w:rPr>
        <w:rFonts w:ascii="Times New Roman" w:hAnsi="Times New Roman" w:cs="Times New Roman"/>
      </w:rPr>
    </w:lvl>
  </w:abstractNum>
  <w:abstractNum w:abstractNumId="13">
    <w:nsid w:val="18E6756F"/>
    <w:multiLevelType w:val="hybridMultilevel"/>
    <w:tmpl w:val="F8A0996C"/>
    <w:lvl w:ilvl="0" w:tplc="EB6C3AEE">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99E70B6"/>
    <w:multiLevelType w:val="multilevel"/>
    <w:tmpl w:val="35FA2CA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15A0C96"/>
    <w:multiLevelType w:val="hybridMultilevel"/>
    <w:tmpl w:val="2AA667E2"/>
    <w:lvl w:ilvl="0" w:tplc="C40EE27A">
      <w:start w:val="1"/>
      <w:numFmt w:val="bullet"/>
      <w:lvlText w:val=""/>
      <w:lvlJc w:val="left"/>
      <w:pPr>
        <w:tabs>
          <w:tab w:val="num" w:pos="720"/>
        </w:tabs>
        <w:ind w:left="720" w:hanging="360"/>
      </w:pPr>
      <w:rPr>
        <w:rFonts w:ascii="Wingdings" w:hAnsi="Wingdings" w:cs="Wingdings" w:hint="default"/>
      </w:rPr>
    </w:lvl>
    <w:lvl w:ilvl="1" w:tplc="206655F0">
      <w:start w:val="1"/>
      <w:numFmt w:val="bullet"/>
      <w:lvlText w:val=""/>
      <w:lvlJc w:val="left"/>
      <w:pPr>
        <w:tabs>
          <w:tab w:val="num" w:pos="1440"/>
        </w:tabs>
        <w:ind w:left="1440" w:hanging="360"/>
      </w:pPr>
      <w:rPr>
        <w:rFonts w:ascii="Wingdings" w:hAnsi="Wingdings" w:cs="Wingdings" w:hint="default"/>
      </w:rPr>
    </w:lvl>
    <w:lvl w:ilvl="2" w:tplc="42A29DC8">
      <w:start w:val="1"/>
      <w:numFmt w:val="bullet"/>
      <w:lvlText w:val=""/>
      <w:lvlJc w:val="left"/>
      <w:pPr>
        <w:tabs>
          <w:tab w:val="num" w:pos="2160"/>
        </w:tabs>
        <w:ind w:left="2160" w:hanging="360"/>
      </w:pPr>
      <w:rPr>
        <w:rFonts w:ascii="Wingdings" w:hAnsi="Wingdings" w:cs="Wingdings" w:hint="default"/>
      </w:rPr>
    </w:lvl>
    <w:lvl w:ilvl="3" w:tplc="804EC8F2">
      <w:start w:val="1"/>
      <w:numFmt w:val="bullet"/>
      <w:lvlText w:val=""/>
      <w:lvlJc w:val="left"/>
      <w:pPr>
        <w:tabs>
          <w:tab w:val="num" w:pos="2880"/>
        </w:tabs>
        <w:ind w:left="2880" w:hanging="360"/>
      </w:pPr>
      <w:rPr>
        <w:rFonts w:ascii="Wingdings" w:hAnsi="Wingdings" w:cs="Wingdings" w:hint="default"/>
      </w:rPr>
    </w:lvl>
    <w:lvl w:ilvl="4" w:tplc="694E6648">
      <w:start w:val="1"/>
      <w:numFmt w:val="bullet"/>
      <w:lvlText w:val=""/>
      <w:lvlJc w:val="left"/>
      <w:pPr>
        <w:tabs>
          <w:tab w:val="num" w:pos="3600"/>
        </w:tabs>
        <w:ind w:left="3600" w:hanging="360"/>
      </w:pPr>
      <w:rPr>
        <w:rFonts w:ascii="Wingdings" w:hAnsi="Wingdings" w:cs="Wingdings" w:hint="default"/>
      </w:rPr>
    </w:lvl>
    <w:lvl w:ilvl="5" w:tplc="46CC5A12">
      <w:start w:val="1"/>
      <w:numFmt w:val="bullet"/>
      <w:lvlText w:val=""/>
      <w:lvlJc w:val="left"/>
      <w:pPr>
        <w:tabs>
          <w:tab w:val="num" w:pos="4320"/>
        </w:tabs>
        <w:ind w:left="4320" w:hanging="360"/>
      </w:pPr>
      <w:rPr>
        <w:rFonts w:ascii="Wingdings" w:hAnsi="Wingdings" w:cs="Wingdings" w:hint="default"/>
      </w:rPr>
    </w:lvl>
    <w:lvl w:ilvl="6" w:tplc="B98E1A2A">
      <w:start w:val="1"/>
      <w:numFmt w:val="bullet"/>
      <w:lvlText w:val=""/>
      <w:lvlJc w:val="left"/>
      <w:pPr>
        <w:tabs>
          <w:tab w:val="num" w:pos="5040"/>
        </w:tabs>
        <w:ind w:left="5040" w:hanging="360"/>
      </w:pPr>
      <w:rPr>
        <w:rFonts w:ascii="Wingdings" w:hAnsi="Wingdings" w:cs="Wingdings" w:hint="default"/>
      </w:rPr>
    </w:lvl>
    <w:lvl w:ilvl="7" w:tplc="38242D4C">
      <w:start w:val="1"/>
      <w:numFmt w:val="bullet"/>
      <w:lvlText w:val=""/>
      <w:lvlJc w:val="left"/>
      <w:pPr>
        <w:tabs>
          <w:tab w:val="num" w:pos="5760"/>
        </w:tabs>
        <w:ind w:left="5760" w:hanging="360"/>
      </w:pPr>
      <w:rPr>
        <w:rFonts w:ascii="Wingdings" w:hAnsi="Wingdings" w:cs="Wingdings" w:hint="default"/>
      </w:rPr>
    </w:lvl>
    <w:lvl w:ilvl="8" w:tplc="2D9AE4EE">
      <w:start w:val="1"/>
      <w:numFmt w:val="bullet"/>
      <w:lvlText w:val=""/>
      <w:lvlJc w:val="left"/>
      <w:pPr>
        <w:tabs>
          <w:tab w:val="num" w:pos="6480"/>
        </w:tabs>
        <w:ind w:left="6480" w:hanging="360"/>
      </w:pPr>
      <w:rPr>
        <w:rFonts w:ascii="Wingdings" w:hAnsi="Wingdings" w:cs="Wingdings" w:hint="default"/>
      </w:rPr>
    </w:lvl>
  </w:abstractNum>
  <w:abstractNum w:abstractNumId="16">
    <w:nsid w:val="4BFD76F9"/>
    <w:multiLevelType w:val="multilevel"/>
    <w:tmpl w:val="77DC9B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90E35DC"/>
    <w:multiLevelType w:val="hybridMultilevel"/>
    <w:tmpl w:val="521EB822"/>
    <w:lvl w:ilvl="0" w:tplc="AFFCEA54">
      <w:start w:val="16"/>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8">
    <w:nsid w:val="62AC3EFE"/>
    <w:multiLevelType w:val="hybridMultilevel"/>
    <w:tmpl w:val="88FC8A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63993F5B"/>
    <w:multiLevelType w:val="hybridMultilevel"/>
    <w:tmpl w:val="0A0A9E06"/>
    <w:lvl w:ilvl="0" w:tplc="2D64AD1E">
      <w:start w:val="1"/>
      <w:numFmt w:val="bullet"/>
      <w:pStyle w:val="Bulletedtext"/>
      <w:lvlText w:val=""/>
      <w:lvlJc w:val="left"/>
      <w:pPr>
        <w:tabs>
          <w:tab w:val="num" w:pos="360"/>
        </w:tabs>
        <w:ind w:left="360" w:hanging="360"/>
      </w:pPr>
      <w:rPr>
        <w:rFonts w:ascii="Symbol" w:hAnsi="Symbol" w:cs="Symbol" w:hint="default"/>
      </w:rPr>
    </w:lvl>
    <w:lvl w:ilvl="1" w:tplc="C4A0D89C">
      <w:start w:val="1"/>
      <w:numFmt w:val="bullet"/>
      <w:lvlText w:val="o"/>
      <w:lvlJc w:val="left"/>
      <w:pPr>
        <w:tabs>
          <w:tab w:val="num" w:pos="1440"/>
        </w:tabs>
        <w:ind w:left="1440" w:hanging="360"/>
      </w:pPr>
      <w:rPr>
        <w:rFonts w:ascii="Courier New" w:hAnsi="Courier New" w:cs="Courier New" w:hint="default"/>
      </w:rPr>
    </w:lvl>
    <w:lvl w:ilvl="2" w:tplc="88663B82">
      <w:start w:val="1"/>
      <w:numFmt w:val="bullet"/>
      <w:lvlText w:val=""/>
      <w:lvlJc w:val="left"/>
      <w:pPr>
        <w:tabs>
          <w:tab w:val="num" w:pos="2160"/>
        </w:tabs>
        <w:ind w:left="2160" w:hanging="360"/>
      </w:pPr>
      <w:rPr>
        <w:rFonts w:ascii="Wingdings" w:hAnsi="Wingdings" w:cs="Wingdings" w:hint="default"/>
      </w:rPr>
    </w:lvl>
    <w:lvl w:ilvl="3" w:tplc="66F2AAC0">
      <w:start w:val="1"/>
      <w:numFmt w:val="bullet"/>
      <w:lvlText w:val=""/>
      <w:lvlJc w:val="left"/>
      <w:pPr>
        <w:tabs>
          <w:tab w:val="num" w:pos="2880"/>
        </w:tabs>
        <w:ind w:left="2880" w:hanging="360"/>
      </w:pPr>
      <w:rPr>
        <w:rFonts w:ascii="Symbol" w:hAnsi="Symbol" w:cs="Symbol" w:hint="default"/>
      </w:rPr>
    </w:lvl>
    <w:lvl w:ilvl="4" w:tplc="18BE90C8">
      <w:start w:val="1"/>
      <w:numFmt w:val="bullet"/>
      <w:lvlText w:val="o"/>
      <w:lvlJc w:val="left"/>
      <w:pPr>
        <w:tabs>
          <w:tab w:val="num" w:pos="3600"/>
        </w:tabs>
        <w:ind w:left="3600" w:hanging="360"/>
      </w:pPr>
      <w:rPr>
        <w:rFonts w:ascii="Courier New" w:hAnsi="Courier New" w:cs="Courier New" w:hint="default"/>
      </w:rPr>
    </w:lvl>
    <w:lvl w:ilvl="5" w:tplc="BDC02666">
      <w:start w:val="1"/>
      <w:numFmt w:val="bullet"/>
      <w:lvlText w:val=""/>
      <w:lvlJc w:val="left"/>
      <w:pPr>
        <w:tabs>
          <w:tab w:val="num" w:pos="4320"/>
        </w:tabs>
        <w:ind w:left="4320" w:hanging="360"/>
      </w:pPr>
      <w:rPr>
        <w:rFonts w:ascii="Wingdings" w:hAnsi="Wingdings" w:cs="Wingdings" w:hint="default"/>
      </w:rPr>
    </w:lvl>
    <w:lvl w:ilvl="6" w:tplc="A3547462">
      <w:start w:val="1"/>
      <w:numFmt w:val="bullet"/>
      <w:lvlText w:val=""/>
      <w:lvlJc w:val="left"/>
      <w:pPr>
        <w:tabs>
          <w:tab w:val="num" w:pos="5040"/>
        </w:tabs>
        <w:ind w:left="5040" w:hanging="360"/>
      </w:pPr>
      <w:rPr>
        <w:rFonts w:ascii="Symbol" w:hAnsi="Symbol" w:cs="Symbol" w:hint="default"/>
      </w:rPr>
    </w:lvl>
    <w:lvl w:ilvl="7" w:tplc="678241A2">
      <w:start w:val="1"/>
      <w:numFmt w:val="bullet"/>
      <w:lvlText w:val="o"/>
      <w:lvlJc w:val="left"/>
      <w:pPr>
        <w:tabs>
          <w:tab w:val="num" w:pos="5760"/>
        </w:tabs>
        <w:ind w:left="5760" w:hanging="360"/>
      </w:pPr>
      <w:rPr>
        <w:rFonts w:ascii="Courier New" w:hAnsi="Courier New" w:cs="Courier New" w:hint="default"/>
      </w:rPr>
    </w:lvl>
    <w:lvl w:ilvl="8" w:tplc="368E6F70">
      <w:start w:val="1"/>
      <w:numFmt w:val="bullet"/>
      <w:lvlText w:val=""/>
      <w:lvlJc w:val="left"/>
      <w:pPr>
        <w:tabs>
          <w:tab w:val="num" w:pos="6480"/>
        </w:tabs>
        <w:ind w:left="6480" w:hanging="360"/>
      </w:pPr>
      <w:rPr>
        <w:rFonts w:ascii="Wingdings" w:hAnsi="Wingdings" w:cs="Wingdings" w:hint="default"/>
      </w:rPr>
    </w:lvl>
  </w:abstractNum>
  <w:abstractNum w:abstractNumId="20">
    <w:nsid w:val="681B257D"/>
    <w:multiLevelType w:val="hybridMultilevel"/>
    <w:tmpl w:val="B966FFEE"/>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1">
    <w:nsid w:val="74803353"/>
    <w:multiLevelType w:val="hybridMultilevel"/>
    <w:tmpl w:val="EB049F36"/>
    <w:lvl w:ilvl="0" w:tplc="CD8047B2">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2">
    <w:nsid w:val="7AA846D1"/>
    <w:multiLevelType w:val="hybridMultilevel"/>
    <w:tmpl w:val="EEE8C566"/>
    <w:lvl w:ilvl="0" w:tplc="6BCA9F38">
      <w:start w:val="1"/>
      <w:numFmt w:val="bullet"/>
      <w:lvlText w:val=""/>
      <w:lvlJc w:val="left"/>
      <w:pPr>
        <w:tabs>
          <w:tab w:val="num" w:pos="360"/>
        </w:tabs>
        <w:ind w:left="360" w:hanging="360"/>
      </w:pPr>
      <w:rPr>
        <w:rFonts w:ascii="Wingdings" w:hAnsi="Wingdings" w:cs="Wingdings" w:hint="default"/>
      </w:rPr>
    </w:lvl>
    <w:lvl w:ilvl="1" w:tplc="C65AF2F6">
      <w:start w:val="1"/>
      <w:numFmt w:val="bullet"/>
      <w:lvlText w:val=""/>
      <w:lvlJc w:val="left"/>
      <w:pPr>
        <w:tabs>
          <w:tab w:val="num" w:pos="1080"/>
        </w:tabs>
        <w:ind w:left="1080" w:hanging="360"/>
      </w:pPr>
      <w:rPr>
        <w:rFonts w:ascii="Wingdings" w:hAnsi="Wingdings" w:cs="Wingdings" w:hint="default"/>
      </w:rPr>
    </w:lvl>
    <w:lvl w:ilvl="2" w:tplc="64FC901E">
      <w:start w:val="1"/>
      <w:numFmt w:val="bullet"/>
      <w:lvlText w:val=""/>
      <w:lvlJc w:val="left"/>
      <w:pPr>
        <w:tabs>
          <w:tab w:val="num" w:pos="1800"/>
        </w:tabs>
        <w:ind w:left="1800" w:hanging="360"/>
      </w:pPr>
      <w:rPr>
        <w:rFonts w:ascii="Wingdings" w:hAnsi="Wingdings" w:cs="Wingdings" w:hint="default"/>
      </w:rPr>
    </w:lvl>
    <w:lvl w:ilvl="3" w:tplc="3928437E">
      <w:start w:val="1"/>
      <w:numFmt w:val="bullet"/>
      <w:lvlText w:val=""/>
      <w:lvlJc w:val="left"/>
      <w:pPr>
        <w:tabs>
          <w:tab w:val="num" w:pos="2520"/>
        </w:tabs>
        <w:ind w:left="2520" w:hanging="360"/>
      </w:pPr>
      <w:rPr>
        <w:rFonts w:ascii="Wingdings" w:hAnsi="Wingdings" w:cs="Wingdings" w:hint="default"/>
      </w:rPr>
    </w:lvl>
    <w:lvl w:ilvl="4" w:tplc="B96A8A0C">
      <w:start w:val="1"/>
      <w:numFmt w:val="bullet"/>
      <w:lvlText w:val=""/>
      <w:lvlJc w:val="left"/>
      <w:pPr>
        <w:tabs>
          <w:tab w:val="num" w:pos="3240"/>
        </w:tabs>
        <w:ind w:left="3240" w:hanging="360"/>
      </w:pPr>
      <w:rPr>
        <w:rFonts w:ascii="Wingdings" w:hAnsi="Wingdings" w:cs="Wingdings" w:hint="default"/>
      </w:rPr>
    </w:lvl>
    <w:lvl w:ilvl="5" w:tplc="9064C654">
      <w:start w:val="1"/>
      <w:numFmt w:val="bullet"/>
      <w:lvlText w:val=""/>
      <w:lvlJc w:val="left"/>
      <w:pPr>
        <w:tabs>
          <w:tab w:val="num" w:pos="3960"/>
        </w:tabs>
        <w:ind w:left="3960" w:hanging="360"/>
      </w:pPr>
      <w:rPr>
        <w:rFonts w:ascii="Wingdings" w:hAnsi="Wingdings" w:cs="Wingdings" w:hint="default"/>
      </w:rPr>
    </w:lvl>
    <w:lvl w:ilvl="6" w:tplc="0DDC2960">
      <w:start w:val="1"/>
      <w:numFmt w:val="bullet"/>
      <w:lvlText w:val=""/>
      <w:lvlJc w:val="left"/>
      <w:pPr>
        <w:tabs>
          <w:tab w:val="num" w:pos="4680"/>
        </w:tabs>
        <w:ind w:left="4680" w:hanging="360"/>
      </w:pPr>
      <w:rPr>
        <w:rFonts w:ascii="Wingdings" w:hAnsi="Wingdings" w:cs="Wingdings" w:hint="default"/>
      </w:rPr>
    </w:lvl>
    <w:lvl w:ilvl="7" w:tplc="CBD8C554">
      <w:start w:val="1"/>
      <w:numFmt w:val="bullet"/>
      <w:lvlText w:val=""/>
      <w:lvlJc w:val="left"/>
      <w:pPr>
        <w:tabs>
          <w:tab w:val="num" w:pos="5400"/>
        </w:tabs>
        <w:ind w:left="5400" w:hanging="360"/>
      </w:pPr>
      <w:rPr>
        <w:rFonts w:ascii="Wingdings" w:hAnsi="Wingdings" w:cs="Wingdings" w:hint="default"/>
      </w:rPr>
    </w:lvl>
    <w:lvl w:ilvl="8" w:tplc="B866D21C">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3"/>
  </w:num>
  <w:num w:numId="13">
    <w:abstractNumId w:val="19"/>
  </w:num>
  <w:num w:numId="14">
    <w:abstractNumId w:val="11"/>
  </w:num>
  <w:num w:numId="15">
    <w:abstractNumId w:val="14"/>
  </w:num>
  <w:num w:numId="16">
    <w:abstractNumId w:val="16"/>
  </w:num>
  <w:num w:numId="17">
    <w:abstractNumId w:val="22"/>
  </w:num>
  <w:num w:numId="18">
    <w:abstractNumId w:val="15"/>
  </w:num>
  <w:num w:numId="19">
    <w:abstractNumId w:val="21"/>
  </w:num>
  <w:num w:numId="20">
    <w:abstractNumId w:val="17"/>
  </w:num>
  <w:num w:numId="21">
    <w:abstractNumId w:val="0"/>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B0A"/>
    <w:rsid w:val="00956B0A"/>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lang w:val="en-GB" w:eastAsia="en-US"/>
    </w:rPr>
  </w:style>
  <w:style w:type="paragraph" w:styleId="Heading1">
    <w:name w:val="heading 1"/>
    <w:basedOn w:val="Normal"/>
    <w:next w:val="Body"/>
    <w:link w:val="Heading1Char"/>
    <w:uiPriority w:val="99"/>
    <w:qFormat/>
    <w:pPr>
      <w:keepNext/>
      <w:pageBreakBefore/>
      <w:tabs>
        <w:tab w:val="right" w:pos="8278"/>
      </w:tabs>
      <w:spacing w:before="360" w:line="480" w:lineRule="auto"/>
      <w:outlineLvl w:val="0"/>
    </w:pPr>
    <w:rPr>
      <w:rFonts w:ascii="Arial" w:hAnsi="Arial" w:cs="Arial"/>
      <w:b/>
      <w:bCs/>
      <w:kern w:val="32"/>
      <w:sz w:val="28"/>
      <w:szCs w:val="28"/>
    </w:rPr>
  </w:style>
  <w:style w:type="paragraph" w:styleId="Heading2">
    <w:name w:val="heading 2"/>
    <w:basedOn w:val="Normal"/>
    <w:next w:val="Body"/>
    <w:link w:val="Heading2Char"/>
    <w:uiPriority w:val="99"/>
    <w:qFormat/>
    <w:pPr>
      <w:keepNext/>
      <w:tabs>
        <w:tab w:val="right" w:pos="8278"/>
      </w:tabs>
      <w:spacing w:before="240" w:line="480" w:lineRule="auto"/>
      <w:outlineLvl w:val="1"/>
    </w:pPr>
    <w:rPr>
      <w:rFonts w:ascii="Arial" w:hAnsi="Arial" w:cs="Arial"/>
      <w:b/>
      <w:bCs/>
      <w:i/>
      <w:iCs/>
    </w:rPr>
  </w:style>
  <w:style w:type="paragraph" w:styleId="Heading3">
    <w:name w:val="heading 3"/>
    <w:basedOn w:val="Normal"/>
    <w:next w:val="Body"/>
    <w:link w:val="Heading3Char"/>
    <w:uiPriority w:val="99"/>
    <w:qFormat/>
    <w:pPr>
      <w:keepNext/>
      <w:tabs>
        <w:tab w:val="right" w:pos="8278"/>
      </w:tabs>
      <w:spacing w:before="120" w:line="480" w:lineRule="auto"/>
      <w:outlineLvl w:val="2"/>
    </w:pPr>
    <w:rPr>
      <w:rFonts w:ascii="Arial" w:hAnsi="Arial" w:cs="Arial"/>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36"/>
      <w:szCs w:val="36"/>
      <w:lang w:val="en-GB" w:eastAsia="en-US"/>
    </w:rPr>
  </w:style>
  <w:style w:type="character" w:customStyle="1" w:styleId="Heading2Char">
    <w:name w:val="Heading 2 Char"/>
    <w:basedOn w:val="DefaultParagraphFont"/>
    <w:link w:val="Heading2"/>
    <w:uiPriority w:val="9"/>
    <w:semiHidden/>
    <w:rsid w:val="00956B0A"/>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56B0A"/>
    <w:rPr>
      <w:rFonts w:asciiTheme="majorHAnsi" w:eastAsiaTheme="majorEastAsia" w:hAnsiTheme="majorHAnsi" w:cstheme="majorBidi"/>
      <w:b/>
      <w:bCs/>
      <w:sz w:val="26"/>
      <w:szCs w:val="26"/>
      <w:lang w:val="en-GB" w:eastAsia="en-US"/>
    </w:rPr>
  </w:style>
  <w:style w:type="paragraph" w:styleId="Footer">
    <w:name w:val="footer"/>
    <w:basedOn w:val="Normal"/>
    <w:link w:val="FooterChar"/>
    <w:uiPriority w:val="99"/>
    <w:pPr>
      <w:tabs>
        <w:tab w:val="center" w:pos="4320"/>
        <w:tab w:val="right" w:pos="8640"/>
      </w:tabs>
    </w:pPr>
    <w:rPr>
      <w:rFonts w:ascii="Arial" w:hAnsi="Arial" w:cs="Arial"/>
    </w:r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PageNumber">
    <w:name w:val="page number"/>
    <w:basedOn w:val="DefaultParagraphFont"/>
    <w:uiPriority w:val="99"/>
    <w:rPr>
      <w:rFonts w:ascii="Times New Roman" w:hAnsi="Times New Roman" w:cs="Times New Roman"/>
    </w:rPr>
  </w:style>
  <w:style w:type="paragraph" w:styleId="Title">
    <w:name w:val="Title"/>
    <w:aliases w:val="AG Title"/>
    <w:basedOn w:val="Normal"/>
    <w:link w:val="TitleChar"/>
    <w:uiPriority w:val="99"/>
    <w:qFormat/>
    <w:pPr>
      <w:spacing w:after="720" w:line="480" w:lineRule="auto"/>
      <w:jc w:val="center"/>
      <w:outlineLvl w:val="0"/>
    </w:pPr>
    <w:rPr>
      <w:rFonts w:ascii="Arial" w:hAnsi="Arial" w:cs="Arial"/>
      <w:b/>
      <w:bCs/>
      <w:kern w:val="28"/>
      <w:sz w:val="36"/>
      <w:szCs w:val="36"/>
    </w:rPr>
  </w:style>
  <w:style w:type="character" w:customStyle="1" w:styleId="TitleChar">
    <w:name w:val="Title Char"/>
    <w:aliases w:val="AG Title Char"/>
    <w:basedOn w:val="DefaultParagraphFont"/>
    <w:link w:val="Title"/>
    <w:uiPriority w:val="99"/>
    <w:rPr>
      <w:rFonts w:ascii="Arial" w:hAnsi="Arial" w:cs="Arial"/>
      <w:b/>
      <w:bCs/>
      <w:kern w:val="28"/>
      <w:sz w:val="32"/>
      <w:szCs w:val="32"/>
      <w:lang w:val="en-GB" w:eastAsia="en-US"/>
    </w:rPr>
  </w:style>
  <w:style w:type="paragraph" w:customStyle="1" w:styleId="References">
    <w:name w:val="References"/>
    <w:uiPriority w:val="99"/>
    <w:pPr>
      <w:spacing w:before="160" w:line="360" w:lineRule="auto"/>
      <w:ind w:left="567" w:hanging="567"/>
    </w:pPr>
    <w:rPr>
      <w:rFonts w:ascii="Arial" w:hAnsi="Arial" w:cs="Arial"/>
      <w:sz w:val="20"/>
      <w:szCs w:val="20"/>
      <w:lang w:val="en-GB" w:eastAsia="en-US"/>
    </w:rPr>
  </w:style>
  <w:style w:type="paragraph" w:customStyle="1" w:styleId="Body">
    <w:name w:val="Body"/>
    <w:basedOn w:val="Normal"/>
    <w:uiPriority w:val="99"/>
    <w:pPr>
      <w:spacing w:before="180" w:line="480" w:lineRule="auto"/>
    </w:pPr>
    <w:rPr>
      <w:rFonts w:ascii="Arial" w:hAnsi="Arial" w:cs="Arial"/>
      <w:sz w:val="22"/>
      <w:szCs w:val="22"/>
    </w:rPr>
  </w:style>
  <w:style w:type="paragraph" w:styleId="Header">
    <w:name w:val="header"/>
    <w:basedOn w:val="Normal"/>
    <w:link w:val="HeaderChar"/>
    <w:uiPriority w:val="99"/>
    <w:pPr>
      <w:tabs>
        <w:tab w:val="center" w:pos="4153"/>
        <w:tab w:val="right" w:pos="8306"/>
      </w:tabs>
    </w:pPr>
    <w:rPr>
      <w:rFonts w:ascii="Arial" w:hAnsi="Arial" w:cs="Arial"/>
    </w:rPr>
  </w:style>
  <w:style w:type="character" w:customStyle="1" w:styleId="HeaderChar">
    <w:name w:val="Header Char"/>
    <w:basedOn w:val="DefaultParagraphFont"/>
    <w:link w:val="Header"/>
    <w:uiPriority w:val="99"/>
    <w:semiHidden/>
    <w:rsid w:val="00956B0A"/>
    <w:rPr>
      <w:rFonts w:ascii="Times New Roman" w:hAnsi="Times New Roman"/>
      <w:sz w:val="24"/>
      <w:szCs w:val="24"/>
      <w:lang w:val="en-GB" w:eastAsia="en-US"/>
    </w:rPr>
  </w:style>
  <w:style w:type="paragraph" w:customStyle="1" w:styleId="Authoraffiliations">
    <w:name w:val="Author affiliations"/>
    <w:uiPriority w:val="99"/>
    <w:pPr>
      <w:spacing w:before="120" w:after="120" w:line="480" w:lineRule="auto"/>
    </w:pPr>
    <w:rPr>
      <w:rFonts w:ascii="Arial" w:hAnsi="Arial" w:cs="Arial"/>
      <w:sz w:val="24"/>
      <w:szCs w:val="24"/>
      <w:lang w:val="en-GB" w:eastAsia="en-US"/>
    </w:rPr>
  </w:style>
  <w:style w:type="paragraph" w:customStyle="1" w:styleId="Author">
    <w:name w:val="Author"/>
    <w:uiPriority w:val="99"/>
    <w:pPr>
      <w:tabs>
        <w:tab w:val="left" w:pos="2722"/>
      </w:tabs>
      <w:spacing w:before="60" w:after="60" w:line="480" w:lineRule="auto"/>
    </w:pPr>
    <w:rPr>
      <w:rFonts w:ascii="Arial" w:hAnsi="Arial" w:cs="Arial"/>
      <w:b/>
      <w:bCs/>
      <w:kern w:val="32"/>
      <w:sz w:val="28"/>
      <w:szCs w:val="28"/>
      <w:lang w:val="en-GB" w:eastAsia="en-US"/>
    </w:rPr>
  </w:style>
  <w:style w:type="paragraph" w:customStyle="1" w:styleId="Abstract">
    <w:name w:val="Abstract"/>
    <w:basedOn w:val="Body"/>
    <w:uiPriority w:val="99"/>
    <w:pPr>
      <w:tabs>
        <w:tab w:val="right" w:pos="8280"/>
      </w:tabs>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56B0A"/>
    <w:rPr>
      <w:rFonts w:ascii="Times New Roman" w:hAnsi="Times New Roman" w:cs="Times New Roman"/>
      <w:sz w:val="0"/>
      <w:szCs w:val="0"/>
      <w:lang w:val="en-GB" w:eastAsia="en-US"/>
    </w:rPr>
  </w:style>
  <w:style w:type="paragraph" w:customStyle="1" w:styleId="Rednote">
    <w:name w:val="Red note"/>
    <w:basedOn w:val="Normal"/>
    <w:uiPriority w:val="99"/>
    <w:pPr>
      <w:spacing w:before="120" w:line="264" w:lineRule="auto"/>
    </w:pPr>
    <w:rPr>
      <w:rFonts w:ascii="Arial" w:hAnsi="Arial" w:cs="Arial"/>
      <w:color w:val="FF0000"/>
      <w:sz w:val="22"/>
      <w:szCs w:val="22"/>
    </w:rPr>
  </w:style>
  <w:style w:type="paragraph" w:customStyle="1" w:styleId="Coversheettext">
    <w:name w:val="Cover sheet text"/>
    <w:basedOn w:val="Body"/>
    <w:uiPriority w:val="99"/>
    <w:pPr>
      <w:spacing w:before="60" w:after="60" w:line="360" w:lineRule="auto"/>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956B0A"/>
    <w:rPr>
      <w:rFonts w:ascii="Times New Roman" w:hAnsi="Times New Roman" w:cs="Times New Roman"/>
      <w:sz w:val="0"/>
      <w:szCs w:val="0"/>
      <w:lang w:val="en-GB" w:eastAsia="en-US"/>
    </w:rPr>
  </w:style>
  <w:style w:type="character" w:styleId="CommentReference">
    <w:name w:val="annotation reference"/>
    <w:basedOn w:val="DefaultParagraphFont"/>
    <w:uiPriority w:val="99"/>
    <w:rPr>
      <w:rFonts w:cstheme="minorBidi"/>
      <w:sz w:val="16"/>
      <w:szCs w:val="16"/>
    </w:rPr>
  </w:style>
  <w:style w:type="paragraph" w:styleId="CommentText">
    <w:name w:val="annotation text"/>
    <w:basedOn w:val="Normal"/>
    <w:link w:val="CommentTextChar"/>
    <w:uiPriority w:val="99"/>
    <w:rPr>
      <w:rFonts w:ascii="Arial" w:hAnsi="Arial" w:cs="Arial"/>
      <w:sz w:val="20"/>
      <w:szCs w:val="20"/>
      <w:lang w:val="en-IN"/>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customStyle="1" w:styleId="Bodywithspace">
    <w:name w:val="Body with space"/>
    <w:basedOn w:val="Body"/>
    <w:uiPriority w:val="99"/>
    <w:pPr>
      <w:spacing w:before="600"/>
    </w:pPr>
  </w:style>
  <w:style w:type="paragraph" w:customStyle="1" w:styleId="Journalcoversheet">
    <w:name w:val="Journal cover sheet"/>
    <w:basedOn w:val="Body"/>
    <w:uiPriority w:val="99"/>
    <w:pPr>
      <w:tabs>
        <w:tab w:val="left" w:pos="2722"/>
      </w:tabs>
      <w:spacing w:line="360" w:lineRule="auto"/>
    </w:pPr>
  </w:style>
  <w:style w:type="paragraph" w:customStyle="1" w:styleId="Journalcoversheetspaced">
    <w:name w:val="Journal cover sheet spaced"/>
    <w:basedOn w:val="Journalcoversheet"/>
    <w:uiPriority w:val="99"/>
    <w:pPr>
      <w:spacing w:before="600"/>
    </w:pPr>
  </w:style>
  <w:style w:type="paragraph" w:customStyle="1" w:styleId="Legend">
    <w:name w:val="Legend"/>
    <w:next w:val="Body"/>
    <w:uiPriority w:val="99"/>
    <w:pPr>
      <w:keepNext/>
      <w:spacing w:after="120" w:line="480" w:lineRule="auto"/>
      <w:ind w:left="1134" w:hanging="1134"/>
    </w:pPr>
    <w:rPr>
      <w:rFonts w:ascii="Arial" w:hAnsi="Arial" w:cs="Arial"/>
      <w:lang w:val="en-GB" w:eastAsia="en-US"/>
    </w:rPr>
  </w:style>
  <w:style w:type="paragraph" w:customStyle="1" w:styleId="Tabletext">
    <w:name w:val="Table text"/>
    <w:uiPriority w:val="99"/>
    <w:pPr>
      <w:spacing w:before="40" w:after="40" w:line="360" w:lineRule="auto"/>
    </w:pPr>
    <w:rPr>
      <w:rFonts w:ascii="Arial" w:hAnsi="Arial" w:cs="Arial"/>
      <w:sz w:val="20"/>
      <w:szCs w:val="20"/>
      <w:lang w:val="en-GB" w:eastAsia="en-US"/>
    </w:rPr>
  </w:style>
  <w:style w:type="paragraph" w:customStyle="1" w:styleId="Footnote">
    <w:name w:val="Footnote"/>
    <w:uiPriority w:val="99"/>
    <w:pPr>
      <w:spacing w:before="120"/>
    </w:pPr>
    <w:rPr>
      <w:rFonts w:ascii="Arial" w:hAnsi="Arial" w:cs="Arial"/>
      <w:sz w:val="18"/>
      <w:szCs w:val="18"/>
      <w:lang w:val="en-GB" w:eastAsia="en-US"/>
    </w:rPr>
  </w:style>
  <w:style w:type="paragraph" w:customStyle="1" w:styleId="Titleforcover">
    <w:name w:val="Title for cover"/>
    <w:basedOn w:val="Title"/>
    <w:uiPriority w:val="99"/>
    <w:pPr>
      <w:spacing w:before="240" w:after="0"/>
    </w:pPr>
  </w:style>
  <w:style w:type="character" w:styleId="Hyperlink">
    <w:name w:val="Hyperlink"/>
    <w:basedOn w:val="DefaultParagraphFont"/>
    <w:uiPriority w:val="99"/>
    <w:rPr>
      <w:rFonts w:cstheme="minorBidi"/>
      <w:color w:val="0000FF"/>
      <w:u w:val="single"/>
    </w:rPr>
  </w:style>
  <w:style w:type="paragraph" w:customStyle="1" w:styleId="Bulletedtext">
    <w:name w:val="Bulleted text"/>
    <w:basedOn w:val="Body"/>
    <w:uiPriority w:val="99"/>
    <w:pPr>
      <w:numPr>
        <w:numId w:val="13"/>
      </w:numPr>
    </w:pPr>
  </w:style>
  <w:style w:type="paragraph" w:customStyle="1" w:styleId="ColorfulList-Accent11">
    <w:name w:val="Colorful List - Accent 11"/>
    <w:basedOn w:val="Normal"/>
    <w:uiPriority w:val="99"/>
    <w:pPr>
      <w:spacing w:after="200" w:line="276" w:lineRule="auto"/>
      <w:ind w:left="720"/>
    </w:pPr>
    <w:rPr>
      <w:rFonts w:ascii="Calibri" w:hAnsi="Calibri" w:cs="Calibri"/>
      <w:sz w:val="22"/>
      <w:szCs w:val="22"/>
      <w:lang w:val="en-US"/>
    </w:rPr>
  </w:style>
  <w:style w:type="paragraph" w:styleId="FootnoteText">
    <w:name w:val="footnote text"/>
    <w:aliases w:val="Footnote Text 2,AG Footnote Text"/>
    <w:basedOn w:val="Normal"/>
    <w:link w:val="FootnoteTextChar"/>
    <w:uiPriority w:val="99"/>
    <w:pPr>
      <w:keepLines/>
      <w:spacing w:after="120"/>
      <w:ind w:left="1800"/>
    </w:pPr>
    <w:rPr>
      <w:rFonts w:ascii="Palatino" w:eastAsia="SimSun" w:hAnsi="Palatino" w:cs="Palatino"/>
      <w:sz w:val="16"/>
      <w:szCs w:val="16"/>
      <w:lang w:val="en-US"/>
    </w:rPr>
  </w:style>
  <w:style w:type="character" w:customStyle="1" w:styleId="FootnoteTextChar">
    <w:name w:val="Footnote Text Char"/>
    <w:aliases w:val="Footnote Text 2 Char,AG Footnote Text Char"/>
    <w:basedOn w:val="DefaultParagraphFont"/>
    <w:link w:val="FootnoteText"/>
    <w:uiPriority w:val="99"/>
    <w:rPr>
      <w:rFonts w:ascii="Palatino" w:eastAsia="SimSun" w:hAnsi="Palatino" w:cs="Palatino"/>
      <w:sz w:val="16"/>
      <w:szCs w:val="16"/>
      <w:lang w:val="en-US" w:eastAsia="en-US"/>
    </w:rPr>
  </w:style>
  <w:style w:type="character" w:styleId="FootnoteReference">
    <w:name w:val="footnote reference"/>
    <w:basedOn w:val="DefaultParagraphFont"/>
    <w:uiPriority w:val="99"/>
    <w:rPr>
      <w:rFonts w:cstheme="minorBidi"/>
      <w:vertAlign w:val="superscript"/>
    </w:rPr>
  </w:style>
  <w:style w:type="paragraph" w:styleId="BodyText">
    <w:name w:val="Body Text"/>
    <w:basedOn w:val="Normal"/>
    <w:link w:val="BodyTextChar"/>
    <w:uiPriority w:val="99"/>
    <w:pPr>
      <w:spacing w:after="120"/>
    </w:pPr>
    <w:rPr>
      <w:rFonts w:ascii="Arial" w:hAnsi="Arial" w:cs="Arial"/>
      <w:lang w:val="en-IN"/>
    </w:rPr>
  </w:style>
  <w:style w:type="character" w:customStyle="1" w:styleId="BodyTextChar">
    <w:name w:val="Body Text Char"/>
    <w:basedOn w:val="DefaultParagraphFont"/>
    <w:link w:val="BodyText"/>
    <w:uiPriority w:val="99"/>
    <w:rPr>
      <w:rFonts w:ascii="Arial" w:hAnsi="Arial" w:cs="Arial"/>
      <w:sz w:val="24"/>
      <w:szCs w:val="24"/>
      <w:lang w:eastAsia="en-US"/>
    </w:rPr>
  </w:style>
  <w:style w:type="character" w:styleId="EndnoteReference">
    <w:name w:val="endnote reference"/>
    <w:basedOn w:val="DefaultParagraphFont"/>
    <w:uiPriority w:val="99"/>
    <w:rPr>
      <w:rFonts w:ascii="Times New Roman" w:hAnsi="Times New Roman" w:cs="Times New Roman"/>
      <w:b/>
      <w:bCs/>
      <w:color w:val="FF0000"/>
      <w:sz w:val="24"/>
      <w:szCs w:val="24"/>
      <w:vertAlign w:val="superscript"/>
    </w:rPr>
  </w:style>
  <w:style w:type="character" w:customStyle="1" w:styleId="highlight">
    <w:name w:val="highlight"/>
    <w:basedOn w:val="DefaultParagraphFont"/>
    <w:uiPriority w:val="99"/>
    <w:rPr>
      <w:rFonts w:ascii="Times New Roman" w:hAnsi="Times New Roman" w:cs="Times New Roman"/>
    </w:rPr>
  </w:style>
  <w:style w:type="character" w:styleId="Emphasis">
    <w:name w:val="Emphasis"/>
    <w:basedOn w:val="DefaultParagraphFont"/>
    <w:uiPriority w:val="99"/>
    <w:qFormat/>
    <w:rPr>
      <w:rFonts w:cstheme="minorBidi"/>
      <w:i/>
      <w:iCs/>
    </w:rPr>
  </w:style>
  <w:style w:type="paragraph" w:styleId="NormalWeb">
    <w:name w:val="Normal (Web)"/>
    <w:basedOn w:val="Normal"/>
    <w:uiPriority w:val="99"/>
    <w:pPr>
      <w:spacing w:before="100" w:beforeAutospacing="1" w:after="100" w:afterAutospacing="1"/>
    </w:pPr>
    <w:rPr>
      <w:lang w:eastAsia="en-GB"/>
    </w:rPr>
  </w:style>
  <w:style w:type="character" w:customStyle="1" w:styleId="interref">
    <w:name w:val="interref"/>
    <w:basedOn w:val="DefaultParagraphFont"/>
    <w:uiPriority w:val="99"/>
    <w:rPr>
      <w:rFonts w:ascii="Times New Roman" w:hAnsi="Times New Roman" w:cs="Times New Roman"/>
    </w:rPr>
  </w:style>
  <w:style w:type="paragraph" w:customStyle="1" w:styleId="Title1">
    <w:name w:val="Title1"/>
    <w:basedOn w:val="Normal"/>
    <w:uiPriority w:val="99"/>
    <w:pPr>
      <w:spacing w:before="100" w:beforeAutospacing="1" w:after="100" w:afterAutospacing="1"/>
    </w:pPr>
    <w:rPr>
      <w:lang w:eastAsia="en-GB"/>
    </w:rPr>
  </w:style>
  <w:style w:type="character" w:customStyle="1" w:styleId="jrnl">
    <w:name w:val="jrnl"/>
    <w:basedOn w:val="DefaultParagraphFont"/>
    <w:uiPriority w:val="99"/>
    <w:rPr>
      <w:rFonts w:ascii="Times New Roman" w:hAnsi="Times New Roman" w:cs="Times New Roman"/>
    </w:rPr>
  </w:style>
  <w:style w:type="character" w:customStyle="1" w:styleId="citation-publication-date">
    <w:name w:val="citation-publication-date"/>
    <w:basedOn w:val="DefaultParagraphFont"/>
    <w:uiPriority w:val="99"/>
    <w:rPr>
      <w:rFonts w:ascii="Times New Roman" w:hAnsi="Times New Roman" w:cs="Times New Roman"/>
    </w:rPr>
  </w:style>
  <w:style w:type="paragraph" w:styleId="Caption">
    <w:name w:val="caption"/>
    <w:basedOn w:val="Normal"/>
    <w:next w:val="Normal"/>
    <w:uiPriority w:val="99"/>
    <w:qFormat/>
    <w:pPr>
      <w:spacing w:before="120" w:after="120" w:line="276" w:lineRule="auto"/>
    </w:pPr>
    <w:rPr>
      <w:rFonts w:ascii="Calibri" w:hAnsi="Calibri" w:cs="Calibri"/>
      <w:b/>
      <w:bCs/>
      <w:sz w:val="20"/>
      <w:szCs w:val="20"/>
      <w:lang w:val="en-US"/>
    </w:rPr>
  </w:style>
  <w:style w:type="character" w:styleId="FollowedHyperlink">
    <w:name w:val="FollowedHyperlink"/>
    <w:basedOn w:val="DefaultParagraphFont"/>
    <w:uiPriority w:val="99"/>
    <w:rPr>
      <w:rFonts w:cstheme="minorBidi"/>
      <w:color w:val="800080"/>
      <w:u w:val="single"/>
    </w:rPr>
  </w:style>
  <w:style w:type="paragraph" w:customStyle="1" w:styleId="ColorfulShading-Accent11">
    <w:name w:val="Colorful Shading - Accent 11"/>
    <w:hidden/>
    <w:uiPriority w:val="99"/>
    <w:rPr>
      <w:rFonts w:ascii="Arial" w:hAnsi="Arial" w:cs="Arial"/>
      <w:sz w:val="24"/>
      <w:szCs w:val="24"/>
      <w:lang w:val="en-GB" w:eastAsia="en-US"/>
    </w:rPr>
  </w:style>
  <w:style w:type="paragraph" w:customStyle="1" w:styleId="MediumList2-Accent21">
    <w:name w:val="Medium List 2 - Accent 21"/>
    <w:hidden/>
    <w:uiPriority w:val="99"/>
    <w:rPr>
      <w:rFonts w:ascii="Arial" w:hAnsi="Arial" w:cs="Arial"/>
      <w:sz w:val="24"/>
      <w:szCs w:val="24"/>
      <w:lang w:val="en-GB" w:eastAsia="en-US"/>
    </w:rPr>
  </w:style>
  <w:style w:type="character" w:customStyle="1" w:styleId="apple-converted-space">
    <w:name w:val="apple-converted-space"/>
    <w:uiPriority w:val="99"/>
    <w:rPr>
      <w:rFonts w:cstheme="minorBidi"/>
    </w:rPr>
  </w:style>
  <w:style w:type="paragraph" w:customStyle="1" w:styleId="ColorfulShading-Accent12">
    <w:name w:val="Colorful Shading - Accent 12"/>
    <w:hidden/>
    <w:uiPriority w:val="99"/>
    <w:rPr>
      <w:rFonts w:ascii="Arial" w:hAnsi="Arial" w:cs="Arial"/>
      <w:sz w:val="24"/>
      <w:szCs w:val="24"/>
      <w:lang w:val="en-GB" w:eastAsia="en-US"/>
    </w:rPr>
  </w:style>
  <w:style w:type="paragraph" w:styleId="Revision">
    <w:name w:val="Revision"/>
    <w:hidden/>
    <w:uiPriority w:val="99"/>
    <w:rPr>
      <w:rFonts w:ascii="Arial" w:hAnsi="Arial" w:cs="Arial"/>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1834</Words>
  <Characters>10454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dc:title>
  <dc:subject/>
  <dc:creator>Administrator</dc:creator>
  <cp:keywords/>
  <dc:description/>
  <cp:lastModifiedBy>Administrator</cp:lastModifiedBy>
  <cp:revision>1</cp:revision>
  <dcterms:created xsi:type="dcterms:W3CDTF">2016-05-05T09:32:00Z</dcterms:created>
  <dcterms:modified xsi:type="dcterms:W3CDTF">2016-05-05T09:33:00Z</dcterms:modified>
</cp:coreProperties>
</file>