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F3" w:rsidRPr="0087261B" w:rsidRDefault="00D218F3" w:rsidP="00D218F3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7261B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:rsidR="00D218F3" w:rsidRPr="0087261B" w:rsidRDefault="00D218F3" w:rsidP="00D218F3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261B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METHODS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87261B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STATISTICAL ANALYSIS</w:t>
      </w:r>
    </w:p>
    <w:p w:rsidR="00D218F3" w:rsidRPr="00CC6CCE" w:rsidRDefault="00D218F3" w:rsidP="00D218F3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CC6C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compare demographic and cognitive </w:t>
      </w:r>
      <w:proofErr w:type="spellStart"/>
      <w:r w:rsidRPr="00CC6CCE">
        <w:rPr>
          <w:rFonts w:ascii="Times New Roman" w:hAnsi="Times New Roman" w:cs="Times New Roman"/>
          <w:bCs/>
          <w:sz w:val="24"/>
          <w:szCs w:val="24"/>
          <w:lang w:val="en-US"/>
        </w:rPr>
        <w:t>features</w:t>
      </w:r>
      <w:proofErr w:type="gramStart"/>
      <w:r w:rsidRPr="00CC6CCE">
        <w:rPr>
          <w:rFonts w:ascii="Times New Roman" w:hAnsi="Times New Roman" w:cs="Times New Roman"/>
          <w:bCs/>
          <w:sz w:val="24"/>
          <w:szCs w:val="24"/>
          <w:lang w:val="en-US"/>
        </w:rPr>
        <w:t>,statistical</w:t>
      </w:r>
      <w:proofErr w:type="spellEnd"/>
      <w:proofErr w:type="gramEnd"/>
      <w:r w:rsidRPr="00CC6C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analyses were performed using SPSS software version 20.0 (SPSS Inc.). The Mann-Whitney U test was used to compute the differences between groups.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Wilcoxon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pairwise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-t-test </w:t>
      </w:r>
      <w:r w:rsidRPr="00CC6CCE">
        <w:rPr>
          <w:rFonts w:ascii="Times New Roman" w:hAnsi="Times New Roman" w:cs="Times New Roman"/>
          <w:bCs/>
          <w:sz w:val="24"/>
          <w:szCs w:val="24"/>
          <w:lang w:val="en-US"/>
        </w:rPr>
        <w:t>was used for longitudinal analysis on neuropsychological data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. Results were considered significant for</w:t>
      </w:r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&lt;0.05. </w:t>
      </w:r>
    </w:p>
    <w:p w:rsidR="00D218F3" w:rsidRPr="00CC6CCE" w:rsidRDefault="00D218F3" w:rsidP="00D218F3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D218F3" w:rsidRPr="0087261B" w:rsidRDefault="00D218F3" w:rsidP="00D218F3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261B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METHODS 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87261B">
        <w:rPr>
          <w:rFonts w:ascii="Times New Roman" w:hAnsi="Times New Roman" w:cs="Times New Roman"/>
          <w:b/>
          <w:sz w:val="24"/>
          <w:szCs w:val="24"/>
          <w:lang w:val="en-US"/>
        </w:rPr>
        <w:t>COGNITIVE ASSESSMENT</w:t>
      </w:r>
    </w:p>
    <w:p w:rsidR="00D218F3" w:rsidRPr="00404A2D" w:rsidRDefault="00D218F3" w:rsidP="00D218F3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4A2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behavioral assessment included: The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Frontal Behavioral Inventory [1]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proofErr w:type="spellStart"/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Frontotemporal</w:t>
      </w:r>
      <w:proofErr w:type="spellEnd"/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Dementia Rating Scale [2]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Neuropsychiatric Inventory [3]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, and the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Frontal </w:t>
      </w:r>
      <w:proofErr w:type="spellStart"/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Dysfonctionnement</w:t>
      </w:r>
      <w:proofErr w:type="spellEnd"/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Scale [4].</w:t>
      </w:r>
    </w:p>
    <w:p w:rsidR="00D218F3" w:rsidRPr="00404A2D" w:rsidRDefault="00D218F3" w:rsidP="00D218F3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4A2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neuropsychological battery included: for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General intellectual abilities the Mini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Mental State Examination [5]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proofErr w:type="spellStart"/>
      <w:r w:rsidRPr="00404A2D">
        <w:rPr>
          <w:rFonts w:ascii="Times New Roman" w:hAnsi="Times New Roman" w:cs="Times New Roman"/>
          <w:sz w:val="24"/>
          <w:szCs w:val="24"/>
          <w:lang w:val="en-US"/>
        </w:rPr>
        <w:t>Mattis</w:t>
      </w:r>
      <w:proofErr w:type="spellEnd"/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 Dementia Rating scale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[6]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; for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Executive functions the 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Frontal Assessment Battery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[7]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, the Wisconsin Card Sorting Test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[8]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and the Trail Making test A and B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[9]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>; for verbal and spatial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memory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 the Free and Cued Recall test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[10]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>and Rey-</w:t>
      </w:r>
      <w:proofErr w:type="spellStart"/>
      <w:r w:rsidRPr="00404A2D">
        <w:rPr>
          <w:rFonts w:ascii="Times New Roman" w:hAnsi="Times New Roman" w:cs="Times New Roman"/>
          <w:sz w:val="24"/>
          <w:szCs w:val="24"/>
          <w:lang w:val="en-US"/>
        </w:rPr>
        <w:t>Osterrieth</w:t>
      </w:r>
      <w:proofErr w:type="spellEnd"/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 Complex Figure Test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[11]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>respectively; for l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anguage the C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ategorical fluency (animals), Phonetic fluency (P letter), and the </w:t>
      </w:r>
      <w:proofErr w:type="spellStart"/>
      <w:r w:rsidRPr="00404A2D">
        <w:rPr>
          <w:rFonts w:ascii="Times New Roman" w:hAnsi="Times New Roman" w:cs="Times New Roman"/>
          <w:sz w:val="24"/>
          <w:szCs w:val="24"/>
          <w:lang w:val="en-US"/>
        </w:rPr>
        <w:t>Becs</w:t>
      </w:r>
      <w:proofErr w:type="spellEnd"/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-Greco naming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[12]</w:t>
      </w:r>
      <w:r w:rsidRPr="00404A2D">
        <w:rPr>
          <w:rStyle w:val="auteur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; </w:t>
      </w:r>
      <w:r w:rsidRPr="00404A2D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404A2D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>p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raxies</w:t>
      </w:r>
      <w:proofErr w:type="spellEnd"/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proofErr w:type="spellStart"/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Praxies</w:t>
      </w:r>
      <w:proofErr w:type="spellEnd"/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Evaluation Battery [13]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; for </w:t>
      </w:r>
      <w:proofErr w:type="spellStart"/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Visuospatial</w:t>
      </w:r>
      <w:proofErr w:type="spellEnd"/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abilities the copy of 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>Rey-</w:t>
      </w:r>
      <w:proofErr w:type="spellStart"/>
      <w:r w:rsidRPr="00404A2D">
        <w:rPr>
          <w:rFonts w:ascii="Times New Roman" w:hAnsi="Times New Roman" w:cs="Times New Roman"/>
          <w:sz w:val="24"/>
          <w:szCs w:val="24"/>
          <w:lang w:val="en-US"/>
        </w:rPr>
        <w:t>Osterrieth</w:t>
      </w:r>
      <w:proofErr w:type="spellEnd"/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 Complex Figure Test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[11]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and for social cognition the Faux pas test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[14]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Theory of mind and the </w:t>
      </w:r>
      <w:proofErr w:type="spellStart"/>
      <w:r w:rsidRPr="00404A2D">
        <w:rPr>
          <w:rFonts w:ascii="Times New Roman" w:hAnsi="Times New Roman" w:cs="Times New Roman"/>
          <w:sz w:val="24"/>
          <w:szCs w:val="24"/>
          <w:lang w:val="en-US"/>
        </w:rPr>
        <w:t>Ekman</w:t>
      </w:r>
      <w:proofErr w:type="spellEnd"/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[15]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 xml:space="preserve">, as part of the SEA battery 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[16]</w:t>
      </w:r>
      <w:r w:rsidRPr="00404A2D">
        <w:rPr>
          <w:rFonts w:ascii="Times New Roman" w:hAnsi="Times New Roman" w:cs="Times New Roman"/>
          <w:sz w:val="24"/>
          <w:szCs w:val="24"/>
          <w:lang w:val="en-US"/>
        </w:rPr>
        <w:t>for e</w:t>
      </w:r>
      <w:r w:rsidRPr="00404A2D">
        <w:rPr>
          <w:rFonts w:ascii="Times New Roman" w:hAnsi="Times New Roman" w:cs="Times New Roman"/>
          <w:bCs/>
          <w:sz w:val="24"/>
          <w:szCs w:val="24"/>
          <w:lang w:val="en-US"/>
        </w:rPr>
        <w:t>motion recognition.</w:t>
      </w:r>
    </w:p>
    <w:p w:rsidR="00D218F3" w:rsidRPr="00404A2D" w:rsidRDefault="00D218F3" w:rsidP="00D218F3">
      <w:pPr>
        <w:tabs>
          <w:tab w:val="left" w:pos="36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  <w:sectPr w:rsidR="00D218F3" w:rsidRPr="00404A2D" w:rsidSect="00D218F3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D218F3" w:rsidRDefault="00D218F3" w:rsidP="00D218F3">
      <w:pPr>
        <w:tabs>
          <w:tab w:val="left" w:pos="36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18F3" w:rsidRDefault="00D218F3" w:rsidP="00D218F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D218F3" w:rsidRPr="0087261B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C6CC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Supplementary Table 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7261B">
        <w:rPr>
          <w:rFonts w:ascii="Times New Roman" w:eastAsia="Calibri" w:hAnsi="Times New Roman" w:cs="Times New Roman"/>
          <w:sz w:val="24"/>
          <w:szCs w:val="24"/>
          <w:lang w:val="en-US"/>
        </w:rPr>
        <w:t>Neuropsychological and behavioral tests results.</w:t>
      </w:r>
    </w:p>
    <w:p w:rsidR="00D218F3" w:rsidRPr="00CC6CCE" w:rsidRDefault="00D218F3" w:rsidP="00D218F3">
      <w:pPr>
        <w:widowControl w:val="0"/>
        <w:suppressLineNumbers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121" w:type="dxa"/>
        <w:tblLayout w:type="fixed"/>
        <w:tblLook w:val="04A0"/>
      </w:tblPr>
      <w:tblGrid>
        <w:gridCol w:w="4405"/>
        <w:gridCol w:w="1396"/>
        <w:gridCol w:w="1440"/>
        <w:gridCol w:w="1440"/>
        <w:gridCol w:w="1440"/>
      </w:tblGrid>
      <w:tr w:rsidR="00D218F3" w:rsidRPr="00CC6CCE" w:rsidTr="00D05702">
        <w:trPr>
          <w:trHeight w:val="557"/>
        </w:trPr>
        <w:tc>
          <w:tcPr>
            <w:tcW w:w="4405" w:type="dxa"/>
            <w:vMerge w:val="restart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TESTS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T20</w:t>
            </w:r>
          </w:p>
        </w:tc>
      </w:tr>
      <w:tr w:rsidR="00D218F3" w:rsidRPr="00CC6CCE" w:rsidTr="00D05702">
        <w:trPr>
          <w:trHeight w:val="557"/>
        </w:trPr>
        <w:tc>
          <w:tcPr>
            <w:tcW w:w="4405" w:type="dxa"/>
            <w:vMerge/>
            <w:tcBorders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CC6C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aGRN</w:t>
            </w:r>
            <w:proofErr w:type="spellEnd"/>
            <w:r w:rsidRPr="00CC6C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+</w:t>
            </w: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(n=16)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GRN-</w:t>
            </w: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(n=17)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CC6C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aGRN</w:t>
            </w:r>
            <w:proofErr w:type="spellEnd"/>
            <w:r w:rsidRPr="00CC6C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+</w:t>
            </w: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(n=14)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GRN-</w:t>
            </w: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(n=14)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single" w:sz="4" w:space="0" w:color="auto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Global efficiency</w:t>
            </w:r>
          </w:p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ini-Mental State Examination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(/30)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143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Mattis</w:t>
            </w:r>
            <w:proofErr w:type="spellEnd"/>
            <w:r w:rsidRPr="005143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Dementia Rating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143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cale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(/ 144)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0±4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Verbal and spatial memory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146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Free and Cued Recall T</w:t>
            </w:r>
            <w:r w:rsidRPr="005143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est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Identifications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(/16)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Immediate cued recall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(/16)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 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Immediate free recall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(/48)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6±5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Immediate total recall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(/48)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218F3" w:rsidRPr="00CC6CCE" w:rsidTr="00D05702">
        <w:trPr>
          <w:trHeight w:val="66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Delayed free recall 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(/16)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±1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Delayed total recall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(/16)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Rey Complex Figure memory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131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Time (seconds)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2±35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6±48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0±50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Score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5±6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3±6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218F3" w:rsidRPr="00CC6CCE" w:rsidTr="00D05702">
        <w:trPr>
          <w:trHeight w:val="261"/>
        </w:trPr>
        <w:tc>
          <w:tcPr>
            <w:tcW w:w="4405" w:type="dxa"/>
            <w:tcBorders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 xml:space="preserve">Digit span </w:t>
            </w:r>
          </w:p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Forward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Backward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7±2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bottom w:val="nil"/>
            </w:tcBorders>
          </w:tcPr>
          <w:p w:rsidR="00D218F3" w:rsidRPr="00FA7EB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A7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Wisconsin Card Sorting Test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D218F3" w:rsidRPr="00FA7EB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FA7EB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FA7EB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FA7EB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  <w:shd w:val="clear" w:color="auto" w:fill="auto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Score (/20)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1±4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Categories (/6)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218F3" w:rsidRPr="00CC6CCE" w:rsidTr="00D05702">
        <w:trPr>
          <w:trHeight w:val="277"/>
        </w:trPr>
        <w:tc>
          <w:tcPr>
            <w:tcW w:w="4405" w:type="dxa"/>
            <w:tcBorders>
              <w:top w:val="nil"/>
              <w:bottom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Time (seconds)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4±76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4±67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3±59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bottom w:val="nil"/>
            </w:tcBorders>
          </w:tcPr>
          <w:p w:rsidR="00D218F3" w:rsidRPr="00FA7EB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A7E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Frontal Assessment Battery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 (/18)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Similarities 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(/3)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Phonological fluency 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(/3)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Grasping 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(/3)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 sequences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(/3)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Conflicting instructions 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(/3)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Go-no-go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(/3)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Trail Making Test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Part A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9±14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Part B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9±37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4±12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9±14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 – A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5±25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Language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Verbal Fluency 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(/2 minutes)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Semantic 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animals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Phonological (P)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5±7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1±7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 xml:space="preserve">Oral confrontation Naming 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(/40)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Emotion Recognition and social cognition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lastRenderedPageBreak/>
              <w:t>Ekman</w:t>
            </w:r>
            <w:proofErr w:type="spellEnd"/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 xml:space="preserve"> test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118"/>
        </w:trPr>
        <w:tc>
          <w:tcPr>
            <w:tcW w:w="4405" w:type="dxa"/>
            <w:tcBorders>
              <w:top w:val="nil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Total score (/35)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Happiness (/5)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Surprise (/5)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Disgust (/5)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Neutral (/5)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Fear (/5)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Anger (/5)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Sadness (/5)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Faux pas recognition test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Score (/30)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7±2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1±4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7±3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Faux pas control test (/10)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Praxies</w:t>
            </w:r>
            <w:proofErr w:type="spellEnd"/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 xml:space="preserve"> assessment</w:t>
            </w:r>
          </w:p>
        </w:tc>
        <w:tc>
          <w:tcPr>
            <w:tcW w:w="139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Manual dexterity (/36)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Kinetic melody (/24)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Meaningless gestures imitation(/36)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Intransitive gestures pantomime (/36)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218F3" w:rsidRPr="00CC6CCE" w:rsidTr="00D05702">
        <w:trPr>
          <w:trHeight w:val="20"/>
        </w:trPr>
        <w:tc>
          <w:tcPr>
            <w:tcW w:w="4405" w:type="dxa"/>
            <w:tcBorders>
              <w:top w:val="nil"/>
              <w:bottom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Transitive </w:t>
            </w:r>
            <w:proofErr w:type="spellStart"/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gesturespantomime</w:t>
            </w:r>
            <w:proofErr w:type="spellEnd"/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(/36)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4±2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218F3" w:rsidRPr="00CC6CCE" w:rsidTr="00D05702">
        <w:trPr>
          <w:trHeight w:val="217"/>
        </w:trPr>
        <w:tc>
          <w:tcPr>
            <w:tcW w:w="4405" w:type="dxa"/>
            <w:tcBorders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Visual-constructive abilities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130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Rey Complex Figure Copy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18F3" w:rsidRPr="00CC6CCE" w:rsidTr="00D05702">
        <w:trPr>
          <w:trHeight w:val="277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TotalScore</w:t>
            </w:r>
            <w:proofErr w:type="spellEnd"/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(/36)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218F3" w:rsidRPr="00CC6CCE" w:rsidTr="00D05702">
        <w:trPr>
          <w:trHeight w:val="337"/>
        </w:trPr>
        <w:tc>
          <w:tcPr>
            <w:tcW w:w="4405" w:type="dxa"/>
            <w:tcBorders>
              <w:top w:val="nil"/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Time (seconds)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2±54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1±31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3±42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218F3" w:rsidRPr="00CC6CCE" w:rsidTr="00D05702">
        <w:trPr>
          <w:trHeight w:val="338"/>
        </w:trPr>
        <w:tc>
          <w:tcPr>
            <w:tcW w:w="4405" w:type="dxa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CC6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 xml:space="preserve">Behavioral assessment </w:t>
            </w:r>
          </w:p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Frontal Battery Inventory scale (/72)</w:t>
            </w:r>
          </w:p>
        </w:tc>
        <w:tc>
          <w:tcPr>
            <w:tcW w:w="1396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218F3" w:rsidRPr="00CC6CCE" w:rsidTr="00D05702">
        <w:trPr>
          <w:trHeight w:val="236"/>
        </w:trPr>
        <w:tc>
          <w:tcPr>
            <w:tcW w:w="4405" w:type="dxa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Neuropsychiatric Inventory (/36)</w:t>
            </w:r>
          </w:p>
        </w:tc>
        <w:tc>
          <w:tcPr>
            <w:tcW w:w="1396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5±5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218F3" w:rsidRPr="00CC6CCE" w:rsidTr="00D05702">
        <w:trPr>
          <w:trHeight w:val="236"/>
        </w:trPr>
        <w:tc>
          <w:tcPr>
            <w:tcW w:w="4405" w:type="dxa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Frontemporal</w:t>
            </w:r>
            <w:proofErr w:type="spellEnd"/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Dementia Rating Scale (/28)</w:t>
            </w:r>
          </w:p>
        </w:tc>
        <w:tc>
          <w:tcPr>
            <w:tcW w:w="1396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218F3" w:rsidRPr="00CC6CCE" w:rsidTr="00D05702">
        <w:trPr>
          <w:trHeight w:val="236"/>
        </w:trPr>
        <w:tc>
          <w:tcPr>
            <w:tcW w:w="4405" w:type="dxa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Frontotemporal</w:t>
            </w:r>
            <w:proofErr w:type="spellEnd"/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Behavioral scale (/4)</w:t>
            </w:r>
          </w:p>
        </w:tc>
        <w:tc>
          <w:tcPr>
            <w:tcW w:w="1396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±1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D218F3" w:rsidRPr="00CC6CCE" w:rsidRDefault="00D218F3" w:rsidP="00D218F3">
      <w:pPr>
        <w:widowControl w:val="0"/>
        <w:suppressLineNumbers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</w:pPr>
      <w:proofErr w:type="spellStart"/>
      <w:r w:rsidRPr="00CC6CCE">
        <w:rPr>
          <w:rFonts w:ascii="Times New Roman" w:hAnsi="Times New Roman" w:cs="Times New Roman"/>
          <w:bCs/>
          <w:sz w:val="24"/>
          <w:szCs w:val="24"/>
          <w:lang w:val="en-US"/>
        </w:rPr>
        <w:t>Mean±SD</w:t>
      </w:r>
      <w:proofErr w:type="spellEnd"/>
      <w:r w:rsidRPr="00CC6C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reported; all the scores of </w:t>
      </w:r>
      <w:proofErr w:type="spellStart"/>
      <w:r w:rsidRPr="00CC6CCE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</w:t>
      </w:r>
      <w:r w:rsidRPr="00CC6CC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>GRN</w:t>
      </w:r>
      <w:proofErr w:type="spellEnd"/>
      <w:r w:rsidRPr="00CC6CC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fr-FR"/>
        </w:rPr>
        <w:t xml:space="preserve">+ </w:t>
      </w:r>
      <w:r w:rsidRPr="00CC6CCE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individuals were normal.</w:t>
      </w:r>
    </w:p>
    <w:p w:rsidR="00D218F3" w:rsidRDefault="00D218F3" w:rsidP="00D218F3">
      <w:pPr>
        <w:tabs>
          <w:tab w:val="left" w:pos="360"/>
          <w:tab w:val="left" w:pos="45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C6CCE">
        <w:rPr>
          <w:rFonts w:ascii="Times New Roman" w:hAnsi="Times New Roman" w:cs="Times New Roman"/>
          <w:bCs/>
          <w:sz w:val="24"/>
          <w:szCs w:val="24"/>
          <w:lang w:val="en-US"/>
        </w:rPr>
        <w:t>There were no statistical differences in the cognitive scores at baseline between the two groups. Longitudinal analysis did not find any difference between groups.</w:t>
      </w:r>
    </w:p>
    <w:p w:rsidR="00D218F3" w:rsidRDefault="00D218F3" w:rsidP="00D218F3">
      <w:pPr>
        <w:tabs>
          <w:tab w:val="left" w:pos="360"/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18F3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  <w:sectPr w:rsidR="00D218F3" w:rsidSect="00CC6CCE">
          <w:type w:val="continuous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D218F3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C6CC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Supplementary Table 2.</w:t>
      </w:r>
      <w:proofErr w:type="gramEnd"/>
      <w:r w:rsidRPr="00CC6C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1F5B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GRN</w:t>
      </w:r>
      <w:r w:rsidRPr="001F5B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mutations.</w:t>
      </w:r>
      <w:proofErr w:type="gramEnd"/>
    </w:p>
    <w:p w:rsidR="00D218F3" w:rsidRPr="001F5B4F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LightShading"/>
        <w:tblW w:w="0" w:type="auto"/>
        <w:jc w:val="center"/>
        <w:tblLayout w:type="fixed"/>
        <w:tblLook w:val="04A0"/>
      </w:tblPr>
      <w:tblGrid>
        <w:gridCol w:w="540"/>
        <w:gridCol w:w="2693"/>
        <w:gridCol w:w="2037"/>
        <w:gridCol w:w="850"/>
      </w:tblGrid>
      <w:tr w:rsidR="00D218F3" w:rsidRPr="00CC6CCE" w:rsidTr="00D05702">
        <w:trPr>
          <w:cnfStyle w:val="100000000000"/>
          <w:jc w:val="center"/>
        </w:trPr>
        <w:tc>
          <w:tcPr>
            <w:cnfStyle w:val="001000000000"/>
            <w:tcW w:w="6120" w:type="dxa"/>
            <w:gridSpan w:val="4"/>
            <w:tcBorders>
              <w:bottom w:val="nil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US"/>
              </w:rPr>
              <w:t>Mutations</w:t>
            </w:r>
          </w:p>
        </w:tc>
      </w:tr>
      <w:tr w:rsidR="00D218F3" w:rsidRPr="00CC6CCE" w:rsidTr="00D05702">
        <w:trPr>
          <w:cnfStyle w:val="000000100000"/>
          <w:jc w:val="center"/>
        </w:trPr>
        <w:tc>
          <w:tcPr>
            <w:cnfStyle w:val="001000000000"/>
            <w:tcW w:w="5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c.DNA</w:t>
            </w:r>
          </w:p>
        </w:tc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C6CC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Exon</w:t>
            </w:r>
            <w:proofErr w:type="spellEnd"/>
          </w:p>
        </w:tc>
      </w:tr>
      <w:tr w:rsidR="00D218F3" w:rsidRPr="00CC6CCE" w:rsidTr="00D05702">
        <w:trPr>
          <w:jc w:val="center"/>
        </w:trPr>
        <w:tc>
          <w:tcPr>
            <w:cnfStyle w:val="001000000000"/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c.907del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p.Ala303Profs*58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218F3" w:rsidRPr="00CC6CCE" w:rsidTr="00D05702">
        <w:trPr>
          <w:cnfStyle w:val="000000100000"/>
          <w:jc w:val="center"/>
        </w:trPr>
        <w:tc>
          <w:tcPr>
            <w:cnfStyle w:val="001000000000"/>
            <w:tcW w:w="54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c.1494_1498del</w:t>
            </w:r>
          </w:p>
        </w:tc>
        <w:tc>
          <w:tcPr>
            <w:tcW w:w="2037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p.Glu498Aspfs*12</w:t>
            </w:r>
          </w:p>
        </w:tc>
        <w:tc>
          <w:tcPr>
            <w:tcW w:w="85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218F3" w:rsidRPr="00CC6CCE" w:rsidTr="00D05702">
        <w:trPr>
          <w:trHeight w:val="80"/>
          <w:jc w:val="center"/>
        </w:trPr>
        <w:tc>
          <w:tcPr>
            <w:cnfStyle w:val="001000000000"/>
            <w:tcW w:w="54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000000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c.813_816delCACT</w:t>
            </w:r>
          </w:p>
        </w:tc>
        <w:tc>
          <w:tcPr>
            <w:tcW w:w="2037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p.Tyr272Serfs*10</w:t>
            </w:r>
          </w:p>
        </w:tc>
        <w:tc>
          <w:tcPr>
            <w:tcW w:w="85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218F3" w:rsidRPr="00CC6CCE" w:rsidTr="00D05702">
        <w:trPr>
          <w:cnfStyle w:val="000000100000"/>
          <w:jc w:val="center"/>
        </w:trPr>
        <w:tc>
          <w:tcPr>
            <w:cnfStyle w:val="001000000000"/>
            <w:tcW w:w="54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c.1201C&gt;T</w:t>
            </w:r>
          </w:p>
        </w:tc>
        <w:tc>
          <w:tcPr>
            <w:tcW w:w="2037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p.Gln401*</w:t>
            </w:r>
          </w:p>
        </w:tc>
        <w:tc>
          <w:tcPr>
            <w:tcW w:w="85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218F3" w:rsidRPr="00CC6CCE" w:rsidTr="00D05702">
        <w:trPr>
          <w:jc w:val="center"/>
        </w:trPr>
        <w:tc>
          <w:tcPr>
            <w:cnfStyle w:val="001000000000"/>
            <w:tcW w:w="54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c.380_381del</w:t>
            </w:r>
          </w:p>
        </w:tc>
        <w:tc>
          <w:tcPr>
            <w:tcW w:w="2037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p.Pro127Argfs*2</w:t>
            </w:r>
          </w:p>
        </w:tc>
        <w:tc>
          <w:tcPr>
            <w:tcW w:w="85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218F3" w:rsidRPr="00CC6CCE" w:rsidTr="00D05702">
        <w:trPr>
          <w:cnfStyle w:val="000000100000"/>
          <w:trHeight w:val="276"/>
          <w:jc w:val="center"/>
        </w:trPr>
        <w:tc>
          <w:tcPr>
            <w:cnfStyle w:val="001000000000"/>
            <w:tcW w:w="54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c.1231_1232dup</w:t>
            </w:r>
          </w:p>
        </w:tc>
        <w:tc>
          <w:tcPr>
            <w:tcW w:w="2037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p.Ala412fs*1</w:t>
            </w:r>
          </w:p>
        </w:tc>
        <w:tc>
          <w:tcPr>
            <w:tcW w:w="85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11</w:t>
            </w:r>
          </w:p>
        </w:tc>
      </w:tr>
      <w:tr w:rsidR="00D218F3" w:rsidRPr="00CC6CCE" w:rsidTr="00D05702">
        <w:trPr>
          <w:jc w:val="center"/>
        </w:trPr>
        <w:tc>
          <w:tcPr>
            <w:cnfStyle w:val="001000000000"/>
            <w:tcW w:w="54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complete </w:t>
            </w:r>
            <w:r w:rsidRPr="00CC6CC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GRN 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deletion</w:t>
            </w:r>
          </w:p>
        </w:tc>
        <w:tc>
          <w:tcPr>
            <w:tcW w:w="2037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p.0</w:t>
            </w:r>
          </w:p>
        </w:tc>
        <w:tc>
          <w:tcPr>
            <w:tcW w:w="85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218F3" w:rsidRPr="00CC6CCE" w:rsidTr="00D05702">
        <w:trPr>
          <w:cnfStyle w:val="000000100000"/>
          <w:jc w:val="center"/>
        </w:trPr>
        <w:tc>
          <w:tcPr>
            <w:cnfStyle w:val="001000000000"/>
            <w:tcW w:w="54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c.1157G&gt;A</w:t>
            </w:r>
          </w:p>
        </w:tc>
        <w:tc>
          <w:tcPr>
            <w:tcW w:w="2037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p.Trp386*</w:t>
            </w:r>
          </w:p>
        </w:tc>
        <w:tc>
          <w:tcPr>
            <w:tcW w:w="85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</w:t>
            </w:r>
          </w:p>
        </w:tc>
      </w:tr>
      <w:tr w:rsidR="00D218F3" w:rsidRPr="00CC6CCE" w:rsidTr="00D05702">
        <w:trPr>
          <w:jc w:val="center"/>
        </w:trPr>
        <w:tc>
          <w:tcPr>
            <w:cnfStyle w:val="001000000000"/>
            <w:tcW w:w="54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c.443_444del</w:t>
            </w:r>
          </w:p>
        </w:tc>
        <w:tc>
          <w:tcPr>
            <w:tcW w:w="2037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p.Gly148Valfs*11</w:t>
            </w:r>
          </w:p>
        </w:tc>
        <w:tc>
          <w:tcPr>
            <w:tcW w:w="85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218F3" w:rsidRPr="00CC6CCE" w:rsidTr="00D05702">
        <w:trPr>
          <w:cnfStyle w:val="000000100000"/>
          <w:jc w:val="center"/>
        </w:trPr>
        <w:tc>
          <w:tcPr>
            <w:cnfStyle w:val="001000000000"/>
            <w:tcW w:w="54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3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 1A&gt;G</w:t>
            </w:r>
          </w:p>
        </w:tc>
        <w:tc>
          <w:tcPr>
            <w:tcW w:w="2037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Met1</w:t>
            </w:r>
          </w:p>
        </w:tc>
        <w:tc>
          <w:tcPr>
            <w:tcW w:w="850" w:type="dxa"/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18F3" w:rsidRPr="00CC6CCE" w:rsidRDefault="00D218F3" w:rsidP="00D218F3">
      <w:pPr>
        <w:widowControl w:val="0"/>
        <w:suppressLineNumbers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18F3" w:rsidRPr="00CC6CCE" w:rsidRDefault="00D218F3" w:rsidP="00D218F3">
      <w:pPr>
        <w:widowControl w:val="0"/>
        <w:suppressLineNumbers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18F3" w:rsidRPr="00CC6CCE" w:rsidRDefault="00D218F3" w:rsidP="00D218F3">
      <w:pPr>
        <w:widowControl w:val="0"/>
        <w:suppressLineNumbers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18F3" w:rsidRDefault="00D218F3" w:rsidP="00D218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218F3" w:rsidRPr="001F5B4F" w:rsidRDefault="00D218F3" w:rsidP="00D218F3">
      <w:pPr>
        <w:widowControl w:val="0"/>
        <w:suppressLineNumbers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3.</w:t>
      </w:r>
      <w:proofErr w:type="gramEnd"/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5B4F">
        <w:rPr>
          <w:rFonts w:ascii="Times New Roman" w:hAnsi="Times New Roman" w:cs="Times New Roman"/>
          <w:sz w:val="24"/>
          <w:szCs w:val="24"/>
          <w:lang w:val="en-US"/>
        </w:rPr>
        <w:t>List of the exclusion criteria for the study</w:t>
      </w:r>
    </w:p>
    <w:p w:rsidR="00D218F3" w:rsidRPr="00CC6CCE" w:rsidRDefault="00D218F3" w:rsidP="00D218F3">
      <w:pPr>
        <w:widowControl w:val="0"/>
        <w:suppressLineNumbers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ightShading"/>
        <w:tblW w:w="0" w:type="auto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5660"/>
      </w:tblGrid>
      <w:tr w:rsidR="00D218F3" w:rsidRPr="00CC6CCE" w:rsidTr="00D05702">
        <w:trPr>
          <w:cnfStyle w:val="100000000000"/>
          <w:jc w:val="center"/>
        </w:trPr>
        <w:tc>
          <w:tcPr>
            <w:cnfStyle w:val="001000000000"/>
            <w:tcW w:w="5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widowControl w:val="0"/>
              <w:suppressLineNumbers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&lt; 18 or &gt; 75</w:t>
            </w:r>
          </w:p>
        </w:tc>
      </w:tr>
      <w:tr w:rsidR="00D218F3" w:rsidRPr="00CC6CCE" w:rsidTr="00D05702">
        <w:trPr>
          <w:cnfStyle w:val="000000100000"/>
          <w:jc w:val="center"/>
        </w:trPr>
        <w:tc>
          <w:tcPr>
            <w:cnfStyle w:val="001000000000"/>
            <w:tcW w:w="5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widowControl w:val="0"/>
              <w:suppressLineNumbers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Pregnancy</w:t>
            </w:r>
          </w:p>
        </w:tc>
      </w:tr>
      <w:tr w:rsidR="00D218F3" w:rsidRPr="00CC6CCE" w:rsidTr="00D05702">
        <w:trPr>
          <w:jc w:val="center"/>
        </w:trPr>
        <w:tc>
          <w:tcPr>
            <w:cnfStyle w:val="001000000000"/>
            <w:tcW w:w="5660" w:type="dxa"/>
            <w:shd w:val="clear" w:color="auto" w:fill="FFFFFF" w:themeFill="background1"/>
          </w:tcPr>
          <w:p w:rsidR="00D218F3" w:rsidRPr="00CC6CCE" w:rsidRDefault="00D218F3" w:rsidP="00D05702">
            <w:pPr>
              <w:widowControl w:val="0"/>
              <w:suppressLineNumbers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Neurological or psychiatric disorders</w:t>
            </w:r>
          </w:p>
        </w:tc>
      </w:tr>
      <w:tr w:rsidR="00D218F3" w:rsidRPr="00CC6CCE" w:rsidTr="00D05702">
        <w:trPr>
          <w:cnfStyle w:val="000000100000"/>
          <w:jc w:val="center"/>
        </w:trPr>
        <w:tc>
          <w:tcPr>
            <w:cnfStyle w:val="001000000000"/>
            <w:tcW w:w="5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widowControl w:val="0"/>
              <w:suppressLineNumbers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 and inflammatory/immunological disorders</w:t>
            </w:r>
          </w:p>
        </w:tc>
      </w:tr>
      <w:tr w:rsidR="00D218F3" w:rsidRPr="00CC6CCE" w:rsidTr="00D05702">
        <w:trPr>
          <w:jc w:val="center"/>
        </w:trPr>
        <w:tc>
          <w:tcPr>
            <w:cnfStyle w:val="001000000000"/>
            <w:tcW w:w="5660" w:type="dxa"/>
            <w:shd w:val="clear" w:color="auto" w:fill="FFFFFF" w:themeFill="background1"/>
          </w:tcPr>
          <w:p w:rsidR="00D218F3" w:rsidRPr="00CC6CCE" w:rsidRDefault="00D218F3" w:rsidP="00D05702">
            <w:pPr>
              <w:widowControl w:val="0"/>
              <w:suppressLineNumbers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MRI contraindications</w:t>
            </w:r>
          </w:p>
          <w:p w:rsidR="00D218F3" w:rsidRPr="00CC6CCE" w:rsidRDefault="00D218F3" w:rsidP="00D05702">
            <w:pPr>
              <w:widowControl w:val="0"/>
              <w:suppressLineNumbers/>
              <w:tabs>
                <w:tab w:val="left" w:pos="36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(Metal-containing implants and foreign bodies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tattoos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 i</w:t>
            </w:r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ntrauterine dispositive)</w:t>
            </w:r>
          </w:p>
        </w:tc>
      </w:tr>
      <w:tr w:rsidR="00D218F3" w:rsidRPr="00CC6CCE" w:rsidTr="00D05702">
        <w:trPr>
          <w:cnfStyle w:val="000000100000"/>
          <w:jc w:val="center"/>
        </w:trPr>
        <w:tc>
          <w:tcPr>
            <w:cnfStyle w:val="001000000000"/>
            <w:tcW w:w="5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widowControl w:val="0"/>
              <w:suppressLineNumbers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 contraindications</w:t>
            </w:r>
          </w:p>
          <w:p w:rsidR="00D218F3" w:rsidRPr="00CC6CCE" w:rsidRDefault="00D218F3" w:rsidP="00D05702">
            <w:pPr>
              <w:widowControl w:val="0"/>
              <w:suppressLineNumbers/>
              <w:tabs>
                <w:tab w:val="left" w:pos="36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(diabetes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urinary incontinence)</w:t>
            </w:r>
          </w:p>
        </w:tc>
      </w:tr>
    </w:tbl>
    <w:p w:rsidR="00D218F3" w:rsidRPr="00CC6CCE" w:rsidRDefault="00D218F3" w:rsidP="00D218F3">
      <w:pPr>
        <w:widowControl w:val="0"/>
        <w:suppressLineNumbers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18F3" w:rsidRDefault="00D218F3" w:rsidP="00D218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D218F3" w:rsidSect="001F5B4F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D218F3" w:rsidRPr="00B568A9" w:rsidRDefault="00D218F3" w:rsidP="00D218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>able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68A9">
        <w:rPr>
          <w:rFonts w:ascii="Times New Roman" w:hAnsi="Times New Roman" w:cs="Times New Roman"/>
          <w:sz w:val="24"/>
          <w:szCs w:val="24"/>
          <w:lang w:val="en-US"/>
        </w:rPr>
        <w:t xml:space="preserve">Regions with significant annualized percentage of metabolic changes in </w:t>
      </w:r>
      <w:proofErr w:type="spellStart"/>
      <w:r w:rsidRPr="00B568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568A9">
        <w:rPr>
          <w:rFonts w:ascii="Times New Roman" w:hAnsi="Times New Roman" w:cs="Times New Roman"/>
          <w:i/>
          <w:sz w:val="24"/>
          <w:szCs w:val="24"/>
          <w:lang w:val="en-US"/>
        </w:rPr>
        <w:t>GRN</w:t>
      </w:r>
      <w:proofErr w:type="spellEnd"/>
      <w:r w:rsidRPr="00B568A9">
        <w:rPr>
          <w:rFonts w:ascii="Times New Roman" w:hAnsi="Times New Roman" w:cs="Times New Roman"/>
          <w:i/>
          <w:sz w:val="24"/>
          <w:szCs w:val="24"/>
          <w:lang w:val="en-US"/>
        </w:rPr>
        <w:t>+</w:t>
      </w:r>
      <w:r w:rsidRPr="00B568A9">
        <w:rPr>
          <w:rFonts w:ascii="Times New Roman" w:hAnsi="Times New Roman" w:cs="Times New Roman"/>
          <w:sz w:val="24"/>
          <w:szCs w:val="24"/>
          <w:lang w:val="en-US"/>
        </w:rPr>
        <w:t xml:space="preserve"> compared to </w:t>
      </w:r>
      <w:r w:rsidRPr="00B568A9">
        <w:rPr>
          <w:rFonts w:ascii="Times New Roman" w:hAnsi="Times New Roman" w:cs="Times New Roman"/>
          <w:i/>
          <w:sz w:val="24"/>
          <w:szCs w:val="24"/>
          <w:lang w:val="en-US"/>
        </w:rPr>
        <w:t>GRN-.</w:t>
      </w:r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LightShading"/>
        <w:tblW w:w="9270" w:type="dxa"/>
        <w:jc w:val="center"/>
        <w:tblLook w:val="04A0"/>
      </w:tblPr>
      <w:tblGrid>
        <w:gridCol w:w="2687"/>
        <w:gridCol w:w="687"/>
        <w:gridCol w:w="1511"/>
        <w:gridCol w:w="1231"/>
        <w:gridCol w:w="1577"/>
        <w:gridCol w:w="1577"/>
      </w:tblGrid>
      <w:tr w:rsidR="00D218F3" w:rsidRPr="00CC6CCE" w:rsidTr="00D05702">
        <w:trPr>
          <w:cnfStyle w:val="100000000000"/>
          <w:jc w:val="center"/>
        </w:trPr>
        <w:tc>
          <w:tcPr>
            <w:cnfStyle w:val="001000000000"/>
            <w:tcW w:w="2970" w:type="dxa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Region </w:t>
            </w:r>
          </w:p>
        </w:tc>
        <w:tc>
          <w:tcPr>
            <w:tcW w:w="709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</w:p>
        </w:tc>
        <w:tc>
          <w:tcPr>
            <w:tcW w:w="1519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Coordinates (x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z)</w:t>
            </w:r>
          </w:p>
        </w:tc>
        <w:tc>
          <w:tcPr>
            <w:tcW w:w="1347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210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Mean % annual </w:t>
            </w:r>
            <w:proofErr w:type="spellStart"/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changevalues</w:t>
            </w:r>
            <w:proofErr w:type="spellEnd"/>
          </w:p>
        </w:tc>
        <w:tc>
          <w:tcPr>
            <w:tcW w:w="1515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Maximal %</w:t>
            </w: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annual </w:t>
            </w:r>
            <w:proofErr w:type="spellStart"/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changevalues</w:t>
            </w:r>
            <w:proofErr w:type="spellEnd"/>
          </w:p>
        </w:tc>
      </w:tr>
      <w:tr w:rsidR="00D218F3" w:rsidRPr="00CC6CCE" w:rsidTr="00D05702">
        <w:trPr>
          <w:cnfStyle w:val="000000100000"/>
          <w:jc w:val="center"/>
        </w:trPr>
        <w:tc>
          <w:tcPr>
            <w:cnfStyle w:val="001000000000"/>
            <w:tcW w:w="2970" w:type="dxa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 Frontal middle </w:t>
            </w:r>
          </w:p>
        </w:tc>
        <w:tc>
          <w:tcPr>
            <w:tcW w:w="709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519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60</w:t>
            </w:r>
          </w:p>
        </w:tc>
        <w:tc>
          <w:tcPr>
            <w:tcW w:w="1347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210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515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</w:tr>
      <w:tr w:rsidR="00D218F3" w:rsidRPr="00CC6CCE" w:rsidTr="00D05702">
        <w:trPr>
          <w:jc w:val="center"/>
        </w:trPr>
        <w:tc>
          <w:tcPr>
            <w:cnfStyle w:val="001000000000"/>
            <w:tcW w:w="2970" w:type="dxa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 Frontal inferior orbital</w:t>
            </w:r>
          </w:p>
        </w:tc>
        <w:tc>
          <w:tcPr>
            <w:tcW w:w="709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519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-22</w:t>
            </w:r>
          </w:p>
        </w:tc>
        <w:tc>
          <w:tcPr>
            <w:tcW w:w="1347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10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-2.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15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D218F3" w:rsidRPr="00CC6CCE" w:rsidTr="00D05702">
        <w:trPr>
          <w:cnfStyle w:val="000000100000"/>
          <w:jc w:val="center"/>
        </w:trPr>
        <w:tc>
          <w:tcPr>
            <w:cnfStyle w:val="001000000000"/>
            <w:tcW w:w="2970" w:type="dxa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 Thalamus </w:t>
            </w:r>
          </w:p>
        </w:tc>
        <w:tc>
          <w:tcPr>
            <w:tcW w:w="709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519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347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210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-2.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515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-8.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D218F3" w:rsidRPr="00CC6CCE" w:rsidTr="00D05702">
        <w:trPr>
          <w:jc w:val="center"/>
        </w:trPr>
        <w:tc>
          <w:tcPr>
            <w:cnfStyle w:val="001000000000"/>
            <w:tcW w:w="2970" w:type="dxa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 Temporal inferior</w:t>
            </w:r>
          </w:p>
        </w:tc>
        <w:tc>
          <w:tcPr>
            <w:tcW w:w="709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519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-42</w:t>
            </w:r>
          </w:p>
        </w:tc>
        <w:tc>
          <w:tcPr>
            <w:tcW w:w="1347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10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-3.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15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</w:tr>
      <w:tr w:rsidR="00D218F3" w:rsidRPr="00CC6CCE" w:rsidTr="00D05702">
        <w:trPr>
          <w:cnfStyle w:val="000000100000"/>
          <w:jc w:val="center"/>
        </w:trPr>
        <w:tc>
          <w:tcPr>
            <w:cnfStyle w:val="001000000000"/>
            <w:tcW w:w="2970" w:type="dxa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 Frontal superior orbital</w:t>
            </w:r>
          </w:p>
        </w:tc>
        <w:tc>
          <w:tcPr>
            <w:tcW w:w="709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519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-24</w:t>
            </w:r>
          </w:p>
        </w:tc>
        <w:tc>
          <w:tcPr>
            <w:tcW w:w="1347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  <w:r w:rsidRPr="00CC6C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10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-2.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15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</w:t>
            </w:r>
            <w:r w:rsidRPr="00CC6C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MNI coordinates and % annual </w:t>
      </w:r>
      <w:proofErr w:type="gram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change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proofErr w:type="gram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mean and maximal values are reported. </w:t>
      </w:r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cluster extent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number of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voxels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D218F3" w:rsidRPr="00CC6CCE" w:rsidSect="00B568A9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D218F3" w:rsidRDefault="00D218F3" w:rsidP="00D218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sectPr w:rsidR="00D218F3" w:rsidSect="00CC6CCE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D218F3" w:rsidRPr="00B568A9" w:rsidRDefault="00D218F3" w:rsidP="00D218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C6C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Supplementary Table 5.</w:t>
      </w:r>
      <w:proofErr w:type="gramEnd"/>
      <w:r w:rsidRPr="00CC6C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B568A9">
        <w:rPr>
          <w:rFonts w:ascii="Times New Roman" w:hAnsi="Times New Roman" w:cs="Times New Roman"/>
          <w:color w:val="000000"/>
          <w:sz w:val="24"/>
          <w:szCs w:val="24"/>
          <w:lang w:val="en-US"/>
        </w:rPr>
        <w:t>Demographic data among the different studies.</w:t>
      </w:r>
      <w:proofErr w:type="gramEnd"/>
    </w:p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LightShading"/>
        <w:tblW w:w="12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312"/>
        <w:gridCol w:w="1276"/>
        <w:gridCol w:w="1276"/>
        <w:gridCol w:w="1276"/>
        <w:gridCol w:w="1574"/>
        <w:gridCol w:w="1418"/>
        <w:gridCol w:w="1417"/>
        <w:gridCol w:w="1417"/>
      </w:tblGrid>
      <w:tr w:rsidR="00D218F3" w:rsidRPr="00CC6CCE" w:rsidTr="00D05702">
        <w:trPr>
          <w:cnfStyle w:val="100000000000"/>
          <w:trHeight w:val="60"/>
          <w:jc w:val="center"/>
        </w:trPr>
        <w:tc>
          <w:tcPr>
            <w:cnfStyle w:val="001000000000"/>
            <w:tcW w:w="1665" w:type="dxa"/>
            <w:tcBorders>
              <w:lef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1312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Our study</w:t>
            </w:r>
          </w:p>
        </w:tc>
        <w:tc>
          <w:tcPr>
            <w:tcW w:w="1276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6C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Borroni</w:t>
            </w:r>
            <w:proofErr w:type="spellEnd"/>
            <w:r w:rsidRPr="00CC6C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et al.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[17]</w:t>
            </w:r>
          </w:p>
        </w:tc>
        <w:tc>
          <w:tcPr>
            <w:tcW w:w="1276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Premi</w:t>
            </w:r>
            <w:proofErr w:type="spellEnd"/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et al.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[18]</w:t>
            </w: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6C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Pievani</w:t>
            </w:r>
            <w:proofErr w:type="spellEnd"/>
            <w:r w:rsidRPr="00CC6C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et al.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[19]</w:t>
            </w:r>
          </w:p>
        </w:tc>
        <w:tc>
          <w:tcPr>
            <w:tcW w:w="1574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Jacova</w:t>
            </w:r>
            <w:proofErr w:type="spellEnd"/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et</w:t>
            </w: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al.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[20]</w:t>
            </w:r>
          </w:p>
        </w:tc>
        <w:tc>
          <w:tcPr>
            <w:tcW w:w="1418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Dopper</w:t>
            </w:r>
            <w:proofErr w:type="spellEnd"/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et</w:t>
            </w: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al.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[21]</w:t>
            </w:r>
          </w:p>
        </w:tc>
        <w:tc>
          <w:tcPr>
            <w:tcW w:w="1417" w:type="dxa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Moreno et al.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[22]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Rohrer et al.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[23]</w:t>
            </w:r>
          </w:p>
        </w:tc>
      </w:tr>
      <w:tr w:rsidR="00D218F3" w:rsidRPr="00CC6CCE" w:rsidTr="00D05702">
        <w:trPr>
          <w:cnfStyle w:val="000000100000"/>
          <w:trHeight w:val="200"/>
          <w:jc w:val="center"/>
        </w:trPr>
        <w:tc>
          <w:tcPr>
            <w:cnfStyle w:val="001000000000"/>
            <w:tcW w:w="1665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Number of asymptomatic</w:t>
            </w:r>
          </w:p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carriers</w:t>
            </w:r>
          </w:p>
        </w:tc>
        <w:tc>
          <w:tcPr>
            <w:tcW w:w="1312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74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9*</w:t>
            </w: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D218F3" w:rsidRPr="00CC6CCE" w:rsidTr="00D05702">
        <w:trPr>
          <w:trHeight w:val="70"/>
          <w:jc w:val="center"/>
        </w:trPr>
        <w:tc>
          <w:tcPr>
            <w:cnfStyle w:val="001000000000"/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Mean age (y)</w:t>
            </w:r>
          </w:p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9±8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</w:t>
            </w:r>
          </w:p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</w:t>
            </w: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1±11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6±9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0±10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5±13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54.</w:t>
            </w: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±8.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.0±12.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218F3" w:rsidRPr="00CC6CCE" w:rsidTr="00D05702">
        <w:trPr>
          <w:cnfStyle w:val="000000100000"/>
          <w:trHeight w:val="199"/>
          <w:jc w:val="center"/>
        </w:trPr>
        <w:tc>
          <w:tcPr>
            <w:cnfStyle w:val="001000000000"/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Mean estimated distance to age at onset (y)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20±10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±7.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0±12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±7.</w:t>
            </w: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8F3" w:rsidRPr="00CC6CCE" w:rsidRDefault="00D218F3" w:rsidP="00D05702">
            <w:pPr>
              <w:tabs>
                <w:tab w:val="left" w:pos="360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218F3" w:rsidRPr="00CC6CCE" w:rsidRDefault="00D218F3" w:rsidP="00D218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6CCE">
        <w:rPr>
          <w:rFonts w:ascii="Times New Roman" w:hAnsi="Times New Roman" w:cs="Times New Roman"/>
          <w:color w:val="000000"/>
          <w:sz w:val="24"/>
          <w:szCs w:val="24"/>
          <w:lang w:val="en-US"/>
        </w:rPr>
        <w:t>* including 5 cognitively impaired.</w:t>
      </w:r>
    </w:p>
    <w:p w:rsidR="00D218F3" w:rsidRPr="00CC6CCE" w:rsidRDefault="00D218F3" w:rsidP="00D218F3">
      <w:pPr>
        <w:tabs>
          <w:tab w:val="left" w:pos="36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18F3" w:rsidRPr="00CC6CCE" w:rsidRDefault="00D218F3" w:rsidP="00D218F3">
      <w:pPr>
        <w:tabs>
          <w:tab w:val="left" w:pos="360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D218F3" w:rsidRPr="00CC6CCE" w:rsidSect="00B568A9"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p w:rsidR="00D218F3" w:rsidRPr="00CC6CCE" w:rsidRDefault="00D218F3" w:rsidP="00D218F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C6CC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Kertesz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Davidson 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Fox H (1997) Frontal Behavioral Inventory: Diagnostic criteria for frontal lobe dementia. </w:t>
      </w:r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 J NeurolSci</w:t>
      </w:r>
      <w:r w:rsidRPr="00CC6C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29–36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Mioshi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Hsieh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Savage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Hornberger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Hodges JR (2010) Clinical staging and disease progression in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frontotemporal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dementia. </w:t>
      </w:r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Neurology</w:t>
      </w:r>
      <w:r w:rsidRPr="00CC6C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74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1591</w:t>
      </w:r>
      <w:proofErr w:type="gram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-1597. 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098D">
        <w:rPr>
          <w:rFonts w:ascii="Times New Roman" w:eastAsia="Calibri" w:hAnsi="Times New Roman" w:cs="Times New Roman"/>
          <w:sz w:val="24"/>
          <w:szCs w:val="24"/>
          <w:lang w:val="en-US"/>
        </w:rPr>
        <w:t>Cummings JL, Mega M, Gray K, Rosenberg-Th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ompson S,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Carusi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Gornbein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(1994) The Neuropsychiatric Inventory: comprehensive assessment of psychopathology in dementia. </w:t>
      </w:r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Neurology</w:t>
      </w:r>
      <w:r w:rsidRPr="00CC6C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2308-2314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Lebert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Pasquier</w:t>
      </w:r>
      <w:proofErr w:type="spellEnd"/>
      <w:proofErr w:type="gram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Souliez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Petit H (1998)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Frontotemporal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behavioral scale. </w:t>
      </w:r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Alzheimer </w:t>
      </w:r>
      <w:proofErr w:type="spellStart"/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Dis</w:t>
      </w:r>
      <w:proofErr w:type="spellEnd"/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AssocDisord</w:t>
      </w:r>
      <w:r w:rsidRPr="00CC6C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12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335</w:t>
      </w:r>
      <w:proofErr w:type="gram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-339. 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Folstein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MF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Folstein</w:t>
      </w:r>
      <w:proofErr w:type="spellEnd"/>
      <w:proofErr w:type="gram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McHugh PR (1975) "Mini Mental State": A practical methods of grading cognitive status of patients for the clinician. </w:t>
      </w:r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 </w:t>
      </w:r>
      <w:proofErr w:type="spellStart"/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>Psych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ol</w:t>
      </w:r>
      <w:proofErr w:type="spellEnd"/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</w:t>
      </w:r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189</w:t>
      </w:r>
      <w:proofErr w:type="gramEnd"/>
      <w:r w:rsidRPr="00CC6CCE">
        <w:rPr>
          <w:rFonts w:ascii="Times New Roman" w:hAnsi="Times New Roman" w:cs="Times New Roman"/>
          <w:sz w:val="24"/>
          <w:szCs w:val="24"/>
          <w:lang w:val="en-US"/>
        </w:rPr>
        <w:t>-198.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Mattis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S (1988</w:t>
      </w:r>
      <w:proofErr w:type="gramStart"/>
      <w:r w:rsidRPr="00CC6CC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>Dementia</w:t>
      </w:r>
      <w:proofErr w:type="gramEnd"/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Rating Scale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. Psyc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hological Assessment Resources, 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Odessa</w:t>
      </w:r>
      <w:r>
        <w:rPr>
          <w:rFonts w:ascii="Times New Roman" w:hAnsi="Times New Roman" w:cs="Times New Roman"/>
          <w:sz w:val="24"/>
          <w:szCs w:val="24"/>
          <w:lang w:val="en-US"/>
        </w:rPr>
        <w:t>, FL.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Dubois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Slachevsky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Litvan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Pillon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 (2000) The FAB: a Frontal Assessment Battery at bedside. </w:t>
      </w:r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Neurology</w:t>
      </w:r>
      <w:r w:rsidRPr="00CC6C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55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1621</w:t>
      </w:r>
      <w:proofErr w:type="gram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-1626. 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Berg 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 (1948)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simple objective for measuring flexibility in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thinking.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J</w:t>
      </w:r>
      <w:proofErr w:type="spellEnd"/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Gen Psychol</w:t>
      </w:r>
      <w:r w:rsidRPr="00CC6C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39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15–22.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Reitan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Wolfson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 (1993) </w:t>
      </w:r>
      <w:proofErr w:type="gramStart"/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proofErr w:type="gramEnd"/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Halstead-</w:t>
      </w:r>
      <w:proofErr w:type="spellStart"/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Reitan</w:t>
      </w:r>
      <w:proofErr w:type="spellEnd"/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Neuropsychological Test Battery: Theory and Clinical Interpretation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2nd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Edn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Neuropsychology Press,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Tuscon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AZ.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Grober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Buschke</w:t>
      </w:r>
      <w:proofErr w:type="spellEnd"/>
      <w:proofErr w:type="gram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Crystal MD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Bang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Dresner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R (1988) Screening for dementia by memory testing. </w:t>
      </w:r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>Neurology</w:t>
      </w:r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900</w:t>
      </w:r>
      <w:proofErr w:type="gramEnd"/>
      <w:r w:rsidRPr="00CC6CCE">
        <w:rPr>
          <w:rFonts w:ascii="Times New Roman" w:hAnsi="Times New Roman" w:cs="Times New Roman"/>
          <w:sz w:val="24"/>
          <w:szCs w:val="24"/>
          <w:lang w:val="en-US"/>
        </w:rPr>
        <w:t>-903.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lastRenderedPageBreak/>
        <w:t>Osterrieth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PA (1944) Le test de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copied’une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figure complex: Contribution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al’etude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de la perception et de la memoire [The test of copying a complex figure: A contribution to the study of perception and memory] </w:t>
      </w:r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>Arch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Psychol</w:t>
      </w:r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1021</w:t>
      </w:r>
      <w:proofErr w:type="gramEnd"/>
      <w:r w:rsidRPr="00CC6CCE">
        <w:rPr>
          <w:rFonts w:ascii="Times New Roman" w:hAnsi="Times New Roman" w:cs="Times New Roman"/>
          <w:sz w:val="24"/>
          <w:szCs w:val="24"/>
          <w:lang w:val="en-US"/>
        </w:rPr>
        <w:t>–1034.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Merck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Charnallet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Auriacombe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Belliard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Hahn-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Barma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Kremin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Lemesle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Mathieux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Moreaud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Perrier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Palisson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Roussel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Sellai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Siegwart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 (2011) La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batteried’évaluation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connaissancessémantiques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 GRECO (BECS-GRECO): Validation et </w:t>
      </w: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donnéesnormatives.</w:t>
      </w:r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Rev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Neuropsychol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(Paris)</w:t>
      </w:r>
      <w:r w:rsidRPr="00CC6C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5409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235-255. 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Peigneux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Linden 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Andres-Benito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Sadzot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Franck 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Salmon E (2000) A neuropsychological and functional brain imaging study of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visuo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-imitative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apraxia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>Rev Neurol</w:t>
      </w:r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>156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459</w:t>
      </w:r>
      <w:proofErr w:type="gram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-472. 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Stone 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Baron-Cohen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Knight RT (1998) Frontal lobe contributions to theory of mind. </w:t>
      </w:r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J CognNeurosci</w:t>
      </w:r>
      <w:r w:rsidRPr="00CC6C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640-656. 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Ekman</w:t>
      </w:r>
      <w:proofErr w:type="spellEnd"/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Friesen W (1976) </w:t>
      </w:r>
      <w:r w:rsidRPr="00CC6CCE">
        <w:rPr>
          <w:rFonts w:ascii="Times New Roman" w:eastAsia="Calibri" w:hAnsi="Times New Roman" w:cs="Times New Roman"/>
          <w:i/>
          <w:sz w:val="24"/>
          <w:szCs w:val="24"/>
          <w:lang w:val="en-US"/>
        </w:rPr>
        <w:t>Pictures of facial affect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>. Consulting Psychologists Press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C6C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Palo Alto. </w:t>
      </w:r>
    </w:p>
    <w:p w:rsidR="00D218F3" w:rsidRPr="0051434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Funkiewiez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Bertoux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de Souza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LC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Lévy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Dubois B (2012) The SEA (Social cognition and Emotional Assessment): a clinical neuropsychological tool for early diagnosis of frontal variant of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frontotemporal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lobar degeneration. </w:t>
      </w:r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>Neuropsychology</w:t>
      </w:r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81</w:t>
      </w:r>
      <w:proofErr w:type="gram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-90. 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Borroni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Alberici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Cercignani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Premi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E, Serra L,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Cerini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Cosseddu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Pettenati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Turla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Archetti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Gasparotti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Caltagirone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Padovani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Bozzali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 (2012)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Granulin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mutation drives brain damage and reorganization from preclinical to symptomatic FTLD. </w:t>
      </w:r>
      <w:proofErr w:type="spellStart"/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>Neurobiol</w:t>
      </w:r>
      <w:proofErr w:type="spellEnd"/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Aging</w:t>
      </w:r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, 2506-2520. 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lastRenderedPageBreak/>
        <w:t>Premi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Cauda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Gasparotti</w:t>
      </w:r>
      <w:bookmarkStart w:id="0" w:name="_GoBack"/>
      <w:bookmarkEnd w:id="0"/>
      <w:r w:rsidRPr="00CC6CCE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Diano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Archetti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Padovani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Borroni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B (2014) Multimodal FMRI resting-state functional connectivity in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granulin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mutations: the case of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fronto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-parietal dementia. </w:t>
      </w:r>
      <w:proofErr w:type="spellStart"/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>PLoS</w:t>
      </w:r>
      <w:proofErr w:type="spellEnd"/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One</w:t>
      </w:r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, e106500. 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Pievani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Paternicò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Benussi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Binetti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Orlandini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Cobelli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Magnaldi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Ghidoni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Frisoni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GB (2014) Pattern of structural and functional brain abnormalities in asymptomatic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granulin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mutation carriers. </w:t>
      </w:r>
      <w:proofErr w:type="spellStart"/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>Alzheimers</w:t>
      </w:r>
      <w:proofErr w:type="spellEnd"/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Dement</w:t>
      </w:r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, S354-S363.e1. 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Jacova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Hsiung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GY,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Tawankanjanachot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Dinelle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K, McCormick S, Gonzalez M, Lee H,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Sengdy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P, Bouchard-Kerr P, Baker M,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Rademakers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Sossi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Stoessl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AJ, Feldman HH, Mackenzie IR (2013) Anterior brain glucose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hypometabolism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predates dementia in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progranulin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mutation carriers. </w:t>
      </w:r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>Neurology</w:t>
      </w:r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>81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>, 1322-1331.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Dopper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EG,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Rombouts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SA,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Jiskoot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LC, den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Heijer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T, de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Graaf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JR, de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Koning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Hammerschlag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AR,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Seelaar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H, Seeley WW, Veer IM, van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Buchem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MA,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Rizzu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vanSwieten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JC (2014) Structural and functional brain connectivity in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presymptomatic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familial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frontotemporal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dementia. </w:t>
      </w:r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>Neurology</w:t>
      </w:r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>83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, e19-26. </w:t>
      </w:r>
    </w:p>
    <w:p w:rsidR="00D218F3" w:rsidRPr="00CC6CC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Moreno F,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Sala-Llonch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Barandiaran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Sánchez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-Valle R,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Estanga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Bartrés-Faz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Sistiaga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Alzualde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Fernández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MartíMassó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JF,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López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Munain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Indakoetxea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B (2013) Distinctive age-related temporal cortical thinning in asymptomatic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granulin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gene mutation carriers. </w:t>
      </w:r>
      <w:proofErr w:type="spellStart"/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>Neurobiol</w:t>
      </w:r>
      <w:proofErr w:type="spellEnd"/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Aging</w:t>
      </w:r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, 1462-1468. </w:t>
      </w:r>
    </w:p>
    <w:p w:rsidR="00D218F3" w:rsidRPr="0051434E" w:rsidRDefault="00D218F3" w:rsidP="00D218F3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Rohrer JD, Nicholas JM, Cash DM, van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Swieten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Dopper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Jiskoot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L, van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Minkelen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Rombouts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SA, Cardoso MJ, Clegg S,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Espak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M, Mead S, Thomas DL, De Vita E,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Masellis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M, Black SE, Freedman M,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Keren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MacIntosh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BJ,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Rogaeva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E, Tang-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Wai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Tartaglia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MC,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Laforce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R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Jr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Tagliavini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Tiraboschi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Redaelli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Prioni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S,Grisoli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Borroni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Padovani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Galimberti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Scarpini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Arighi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Fumagalli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G, Rowe JB, 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Coyle-Gilchrist I, Graff C,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Fallström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Jelic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Ståhlbom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AK,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Andersson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Thonberg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Lilius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Frisoni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GB,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Pievani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Bocchetta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Benussi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Ghidoni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R, Finger E,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Sorbi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Nacmias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B, Lombardi G,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Polito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C, Warren JD,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Ourselin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S, Fox NC,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Rossor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MN (2015)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Presymptomatic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cognitive and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neuroanatomical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changes in genetic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frontotemporal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dementia in the Genetic </w:t>
      </w:r>
      <w:proofErr w:type="spellStart"/>
      <w:r w:rsidRPr="00CC6CCE">
        <w:rPr>
          <w:rFonts w:ascii="Times New Roman" w:hAnsi="Times New Roman" w:cs="Times New Roman"/>
          <w:sz w:val="24"/>
          <w:szCs w:val="24"/>
          <w:lang w:val="en-US"/>
        </w:rPr>
        <w:t>Frontotemporal</w:t>
      </w:r>
      <w:proofErr w:type="spellEnd"/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 dementia Initiative (GENFI) study: a cross-sectional analysis. </w:t>
      </w:r>
      <w:r w:rsidRPr="00CC6CCE">
        <w:rPr>
          <w:rFonts w:ascii="Times New Roman" w:hAnsi="Times New Roman" w:cs="Times New Roman"/>
          <w:i/>
          <w:sz w:val="24"/>
          <w:szCs w:val="24"/>
          <w:lang w:val="en-US"/>
        </w:rPr>
        <w:t>Lancet Neurol</w:t>
      </w:r>
      <w:r w:rsidRPr="00CC6CCE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CC6CCE">
        <w:rPr>
          <w:rFonts w:ascii="Times New Roman" w:hAnsi="Times New Roman" w:cs="Times New Roman"/>
          <w:sz w:val="24"/>
          <w:szCs w:val="24"/>
          <w:lang w:val="en-US"/>
        </w:rPr>
        <w:t xml:space="preserve">, 253-262. </w:t>
      </w:r>
    </w:p>
    <w:p w:rsidR="008512FD" w:rsidRDefault="008512FD"/>
    <w:sectPr w:rsidR="008512FD" w:rsidSect="00B568A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848"/>
    <w:multiLevelType w:val="multilevel"/>
    <w:tmpl w:val="104C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3EE8"/>
    <w:multiLevelType w:val="hybridMultilevel"/>
    <w:tmpl w:val="926A7E4E"/>
    <w:lvl w:ilvl="0" w:tplc="6CCE9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3E53"/>
    <w:multiLevelType w:val="hybridMultilevel"/>
    <w:tmpl w:val="781679D0"/>
    <w:lvl w:ilvl="0" w:tplc="A0FE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AF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21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AE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8B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B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A5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AC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7A6BD9"/>
    <w:multiLevelType w:val="hybridMultilevel"/>
    <w:tmpl w:val="9C02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D11A6"/>
    <w:multiLevelType w:val="hybridMultilevel"/>
    <w:tmpl w:val="DBF26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4AFC"/>
    <w:multiLevelType w:val="hybridMultilevel"/>
    <w:tmpl w:val="E0CC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40F1C"/>
    <w:multiLevelType w:val="hybridMultilevel"/>
    <w:tmpl w:val="AE3809A4"/>
    <w:lvl w:ilvl="0" w:tplc="30D6F60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MS Mincho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261AF"/>
    <w:multiLevelType w:val="hybridMultilevel"/>
    <w:tmpl w:val="19EA8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CB2"/>
    <w:multiLevelType w:val="hybridMultilevel"/>
    <w:tmpl w:val="16DEA342"/>
    <w:lvl w:ilvl="0" w:tplc="ACBEA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26"/>
    <w:multiLevelType w:val="hybridMultilevel"/>
    <w:tmpl w:val="E2346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4CA9"/>
    <w:multiLevelType w:val="hybridMultilevel"/>
    <w:tmpl w:val="7E8AE09E"/>
    <w:lvl w:ilvl="0" w:tplc="30D6F60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MS Mincho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71FFC"/>
    <w:multiLevelType w:val="hybridMultilevel"/>
    <w:tmpl w:val="970AFA42"/>
    <w:lvl w:ilvl="0" w:tplc="33A49AA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05BFF"/>
    <w:multiLevelType w:val="hybridMultilevel"/>
    <w:tmpl w:val="2DFA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B133E"/>
    <w:multiLevelType w:val="hybridMultilevel"/>
    <w:tmpl w:val="C47ECA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6BF3"/>
    <w:multiLevelType w:val="hybridMultilevel"/>
    <w:tmpl w:val="3C3E7A4A"/>
    <w:lvl w:ilvl="0" w:tplc="EAAC76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311B9"/>
    <w:multiLevelType w:val="hybridMultilevel"/>
    <w:tmpl w:val="C8341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155C9"/>
    <w:multiLevelType w:val="hybridMultilevel"/>
    <w:tmpl w:val="C8341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2BC7"/>
    <w:multiLevelType w:val="hybridMultilevel"/>
    <w:tmpl w:val="03D0B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D37BF"/>
    <w:multiLevelType w:val="hybridMultilevel"/>
    <w:tmpl w:val="E6E47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3395F"/>
    <w:multiLevelType w:val="hybridMultilevel"/>
    <w:tmpl w:val="03D0B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04709"/>
    <w:multiLevelType w:val="hybridMultilevel"/>
    <w:tmpl w:val="09041D04"/>
    <w:lvl w:ilvl="0" w:tplc="EC925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C1833"/>
    <w:multiLevelType w:val="hybridMultilevel"/>
    <w:tmpl w:val="BF4EA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15"/>
  </w:num>
  <w:num w:numId="7">
    <w:abstractNumId w:val="3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9"/>
  </w:num>
  <w:num w:numId="13">
    <w:abstractNumId w:val="4"/>
  </w:num>
  <w:num w:numId="14">
    <w:abstractNumId w:val="11"/>
  </w:num>
  <w:num w:numId="15">
    <w:abstractNumId w:val="21"/>
  </w:num>
  <w:num w:numId="16">
    <w:abstractNumId w:val="2"/>
  </w:num>
  <w:num w:numId="17">
    <w:abstractNumId w:val="16"/>
  </w:num>
  <w:num w:numId="18">
    <w:abstractNumId w:val="0"/>
  </w:num>
  <w:num w:numId="19">
    <w:abstractNumId w:val="12"/>
  </w:num>
  <w:num w:numId="20">
    <w:abstractNumId w:val="5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18F3"/>
    <w:rsid w:val="000E02AA"/>
    <w:rsid w:val="00456175"/>
    <w:rsid w:val="008512FD"/>
    <w:rsid w:val="00AF0349"/>
    <w:rsid w:val="00D218F3"/>
    <w:rsid w:val="00D24CEB"/>
    <w:rsid w:val="00D7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F3"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D21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8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lement-citation">
    <w:name w:val="element-citation"/>
    <w:basedOn w:val="DefaultParagraphFont"/>
    <w:rsid w:val="00D218F3"/>
  </w:style>
  <w:style w:type="character" w:customStyle="1" w:styleId="ref-journal">
    <w:name w:val="ref-journal"/>
    <w:basedOn w:val="DefaultParagraphFont"/>
    <w:rsid w:val="00D218F3"/>
  </w:style>
  <w:style w:type="character" w:styleId="Hyperlink">
    <w:name w:val="Hyperlink"/>
    <w:basedOn w:val="DefaultParagraphFont"/>
    <w:uiPriority w:val="99"/>
    <w:unhideWhenUsed/>
    <w:rsid w:val="00D218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8F3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8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18F3"/>
    <w:rPr>
      <w:i/>
      <w:iCs/>
    </w:rPr>
  </w:style>
  <w:style w:type="paragraph" w:styleId="NoSpacing">
    <w:name w:val="No Spacing"/>
    <w:uiPriority w:val="1"/>
    <w:qFormat/>
    <w:rsid w:val="00D218F3"/>
    <w:pPr>
      <w:spacing w:after="0" w:line="240" w:lineRule="auto"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D21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F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1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F3"/>
    <w:rPr>
      <w:lang w:val="fr-FR"/>
    </w:rPr>
  </w:style>
  <w:style w:type="paragraph" w:customStyle="1" w:styleId="Standard">
    <w:name w:val="Standard"/>
    <w:rsid w:val="00D218F3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Devanagari"/>
      <w:kern w:val="3"/>
      <w:sz w:val="24"/>
      <w:szCs w:val="24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rsid w:val="00D21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18F3"/>
    <w:rPr>
      <w:rFonts w:ascii="Arial Unicode MS" w:eastAsia="Arial Unicode MS" w:hAnsi="Arial Unicode MS" w:cs="Arial Unicode MS"/>
      <w:sz w:val="20"/>
      <w:szCs w:val="20"/>
      <w:lang w:val="fr-FR" w:eastAsia="fr-FR"/>
    </w:rPr>
  </w:style>
  <w:style w:type="paragraph" w:customStyle="1" w:styleId="Contenudetableau">
    <w:name w:val="Contenu de tableau"/>
    <w:basedOn w:val="Normal"/>
    <w:rsid w:val="00D218F3"/>
    <w:pPr>
      <w:widowControl w:val="0"/>
      <w:suppressLineNumbers/>
      <w:tabs>
        <w:tab w:val="left" w:pos="708"/>
      </w:tabs>
      <w:suppressAutoHyphens/>
      <w:spacing w:after="0" w:line="100" w:lineRule="atLeast"/>
    </w:pPr>
    <w:rPr>
      <w:rFonts w:ascii="Liberation Serif" w:eastAsia="DejaVu Sans" w:hAnsi="Liberation Serif" w:cs="Lohit Devanagari"/>
      <w:color w:val="00000A"/>
      <w:sz w:val="24"/>
      <w:szCs w:val="24"/>
      <w:lang w:val="en-US" w:eastAsia="zh-CN" w:bidi="hi-IN"/>
    </w:rPr>
  </w:style>
  <w:style w:type="character" w:customStyle="1" w:styleId="highlight">
    <w:name w:val="highlight"/>
    <w:basedOn w:val="DefaultParagraphFont"/>
    <w:rsid w:val="00D218F3"/>
  </w:style>
  <w:style w:type="paragraph" w:styleId="BalloonText">
    <w:name w:val="Balloon Text"/>
    <w:basedOn w:val="Normal"/>
    <w:link w:val="BalloonTextChar"/>
    <w:uiPriority w:val="99"/>
    <w:semiHidden/>
    <w:unhideWhenUsed/>
    <w:rsid w:val="00D2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F3"/>
    <w:rPr>
      <w:rFonts w:ascii="Tahoma" w:hAnsi="Tahoma" w:cs="Tahoma"/>
      <w:sz w:val="16"/>
      <w:szCs w:val="16"/>
      <w:lang w:val="fr-FR"/>
    </w:rPr>
  </w:style>
  <w:style w:type="table" w:styleId="LightShading">
    <w:name w:val="Light Shading"/>
    <w:basedOn w:val="TableNormal"/>
    <w:uiPriority w:val="60"/>
    <w:rsid w:val="00D218F3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218F3"/>
    <w:pPr>
      <w:spacing w:after="0" w:line="240" w:lineRule="auto"/>
      <w:jc w:val="center"/>
    </w:pPr>
    <w:rPr>
      <w:color w:val="365F91" w:themeColor="accent1" w:themeShade="BF"/>
      <w:lang w:val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D218F3"/>
    <w:pPr>
      <w:spacing w:after="0" w:line="240" w:lineRule="auto"/>
      <w:jc w:val="center"/>
    </w:pPr>
    <w:rPr>
      <w:lang w:val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1">
    <w:name w:val="titre1"/>
    <w:rsid w:val="00D218F3"/>
    <w:rPr>
      <w:b/>
      <w:bCs/>
      <w:color w:val="2767A3"/>
      <w:sz w:val="14"/>
      <w:szCs w:val="14"/>
    </w:rPr>
  </w:style>
  <w:style w:type="character" w:customStyle="1" w:styleId="auteur1">
    <w:name w:val="auteur1"/>
    <w:rsid w:val="00D218F3"/>
    <w:rPr>
      <w:color w:val="888888"/>
      <w:sz w:val="14"/>
      <w:szCs w:val="14"/>
    </w:rPr>
  </w:style>
  <w:style w:type="table" w:styleId="LightGrid">
    <w:name w:val="Light Grid"/>
    <w:basedOn w:val="TableNormal"/>
    <w:uiPriority w:val="62"/>
    <w:rsid w:val="00D218F3"/>
    <w:pPr>
      <w:spacing w:after="0" w:line="240" w:lineRule="auto"/>
    </w:pPr>
    <w:rPr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extenormal">
    <w:name w:val="textenormal"/>
    <w:basedOn w:val="DefaultParagraphFont"/>
    <w:rsid w:val="00D218F3"/>
  </w:style>
  <w:style w:type="character" w:styleId="LineNumber">
    <w:name w:val="line number"/>
    <w:basedOn w:val="DefaultParagraphFont"/>
    <w:uiPriority w:val="99"/>
    <w:semiHidden/>
    <w:unhideWhenUsed/>
    <w:rsid w:val="00D218F3"/>
  </w:style>
  <w:style w:type="character" w:styleId="CommentReference">
    <w:name w:val="annotation reference"/>
    <w:basedOn w:val="DefaultParagraphFont"/>
    <w:uiPriority w:val="99"/>
    <w:semiHidden/>
    <w:unhideWhenUsed/>
    <w:rsid w:val="00D218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8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8F3"/>
    <w:rPr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8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8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8F3"/>
    <w:pPr>
      <w:spacing w:after="0" w:line="240" w:lineRule="auto"/>
    </w:pPr>
    <w:rPr>
      <w:lang w:val="fr-FR"/>
    </w:rPr>
  </w:style>
  <w:style w:type="character" w:styleId="Strong">
    <w:name w:val="Strong"/>
    <w:basedOn w:val="DefaultParagraphFont"/>
    <w:uiPriority w:val="22"/>
    <w:qFormat/>
    <w:rsid w:val="00D218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1790</Words>
  <Characters>10206</Characters>
  <Application>Microsoft Office Word</Application>
  <DocSecurity>0</DocSecurity>
  <Lines>85</Lines>
  <Paragraphs>23</Paragraphs>
  <ScaleCrop>false</ScaleCrop>
  <Company>tdc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els_dcon</dc:creator>
  <cp:keywords/>
  <dc:description/>
  <cp:lastModifiedBy>els_dcon</cp:lastModifiedBy>
  <cp:revision>1</cp:revision>
  <dcterms:created xsi:type="dcterms:W3CDTF">2015-07-24T14:09:00Z</dcterms:created>
  <dcterms:modified xsi:type="dcterms:W3CDTF">2015-07-24T14:10:00Z</dcterms:modified>
</cp:coreProperties>
</file>