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38" w:rsidRPr="009144F0" w:rsidRDefault="00372838" w:rsidP="00372838">
      <w:pPr>
        <w:tabs>
          <w:tab w:val="left" w:pos="360"/>
        </w:tabs>
        <w:spacing w:after="0" w:line="480" w:lineRule="auto"/>
        <w:rPr>
          <w:rFonts w:ascii="Times New Roman" w:hAnsi="Times New Roman" w:cs="Times New Roman"/>
          <w:b/>
          <w:sz w:val="40"/>
          <w:szCs w:val="40"/>
          <w:lang w:val="en-US"/>
        </w:rPr>
      </w:pPr>
      <w:r w:rsidRPr="009144F0">
        <w:rPr>
          <w:rFonts w:ascii="Times New Roman" w:hAnsi="Times New Roman" w:cs="Times New Roman"/>
          <w:b/>
          <w:sz w:val="40"/>
          <w:szCs w:val="40"/>
          <w:lang w:val="en-US"/>
        </w:rPr>
        <w:t>Supplementary Materials</w:t>
      </w:r>
    </w:p>
    <w:p w:rsidR="00372838" w:rsidRPr="008D6895" w:rsidRDefault="00372838" w:rsidP="00372838">
      <w:pPr>
        <w:tabs>
          <w:tab w:val="left" w:pos="360"/>
        </w:tabs>
        <w:spacing w:after="0" w:line="480" w:lineRule="auto"/>
        <w:rPr>
          <w:rFonts w:ascii="Times New Roman" w:hAnsi="Times New Roman" w:cs="Times New Roman"/>
          <w:b/>
          <w:sz w:val="24"/>
          <w:szCs w:val="24"/>
          <w:lang w:val="en-US"/>
        </w:rPr>
      </w:pPr>
    </w:p>
    <w:p w:rsidR="00372838" w:rsidRPr="008D6895" w:rsidRDefault="00372838" w:rsidP="00372838">
      <w:pPr>
        <w:tabs>
          <w:tab w:val="left" w:pos="360"/>
        </w:tabs>
        <w:spacing w:after="0" w:line="480" w:lineRule="auto"/>
        <w:rPr>
          <w:rFonts w:ascii="Times New Roman" w:hAnsi="Times New Roman" w:cs="Times New Roman"/>
          <w:b/>
          <w:sz w:val="24"/>
          <w:szCs w:val="24"/>
          <w:lang w:val="en-US"/>
        </w:rPr>
      </w:pPr>
      <w:r w:rsidRPr="008D6895">
        <w:rPr>
          <w:rFonts w:ascii="Times New Roman" w:hAnsi="Times New Roman" w:cs="Times New Roman"/>
          <w:b/>
          <w:sz w:val="24"/>
          <w:szCs w:val="24"/>
          <w:lang w:val="en-US"/>
        </w:rPr>
        <w:t>Supplementary Methods</w:t>
      </w:r>
    </w:p>
    <w:p w:rsidR="00372838" w:rsidRPr="008D6895" w:rsidRDefault="00372838" w:rsidP="00372838">
      <w:pPr>
        <w:tabs>
          <w:tab w:val="left" w:pos="360"/>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8D6895">
        <w:rPr>
          <w:rFonts w:ascii="Times New Roman" w:hAnsi="Times New Roman" w:cs="Times New Roman"/>
          <w:sz w:val="24"/>
          <w:szCs w:val="24"/>
          <w:lang w:val="en-US"/>
        </w:rPr>
        <w:t xml:space="preserve">Supplementary Table 1 provides supplementary information on participants’ APOE status and health characteristics at the time of the MCI diagnosis. Independent </w:t>
      </w:r>
      <w:proofErr w:type="gramStart"/>
      <w:r w:rsidRPr="008D6895">
        <w:rPr>
          <w:rFonts w:ascii="Times New Roman" w:hAnsi="Times New Roman" w:cs="Times New Roman"/>
          <w:sz w:val="24"/>
          <w:szCs w:val="24"/>
          <w:lang w:val="en-US"/>
        </w:rPr>
        <w:t>samples’ t</w:t>
      </w:r>
      <w:proofErr w:type="gramEnd"/>
      <w:r w:rsidRPr="008D6895">
        <w:rPr>
          <w:rFonts w:ascii="Times New Roman" w:hAnsi="Times New Roman" w:cs="Times New Roman"/>
          <w:sz w:val="24"/>
          <w:szCs w:val="24"/>
          <w:lang w:val="en-US"/>
        </w:rPr>
        <w:t>-tests and two-sided Fisher’s exact tests were</w:t>
      </w:r>
      <w:r>
        <w:rPr>
          <w:rFonts w:ascii="Times New Roman" w:hAnsi="Times New Roman" w:cs="Times New Roman"/>
          <w:sz w:val="24"/>
          <w:szCs w:val="24"/>
          <w:lang w:val="en-US"/>
        </w:rPr>
        <w:t xml:space="preserve"> performed to determine NC-NC versus</w:t>
      </w:r>
      <w:r w:rsidRPr="008D6895">
        <w:rPr>
          <w:rFonts w:ascii="Times New Roman" w:hAnsi="Times New Roman" w:cs="Times New Roman"/>
          <w:sz w:val="24"/>
          <w:szCs w:val="24"/>
          <w:lang w:val="en-US"/>
        </w:rPr>
        <w:t xml:space="preserve"> NC-MCI group differences regarding these variables using an alpha level of p &lt; 0.05. Statistical analyses were performed with SPSS version 21 (SPSS Inc. IBM company, 2012). Significant group differences emerged with respect to the APOE status (</w:t>
      </w:r>
      <w:r w:rsidRPr="008D6895">
        <w:rPr>
          <w:rFonts w:ascii="Times New Roman" w:hAnsi="Times New Roman" w:cs="Times New Roman"/>
          <w:i/>
          <w:sz w:val="24"/>
          <w:szCs w:val="24"/>
          <w:lang w:val="en-US"/>
        </w:rPr>
        <w:t>p</w:t>
      </w:r>
      <w:r w:rsidRPr="008D6895">
        <w:rPr>
          <w:rFonts w:ascii="Times New Roman" w:hAnsi="Times New Roman" w:cs="Times New Roman"/>
          <w:sz w:val="24"/>
          <w:szCs w:val="24"/>
          <w:lang w:val="en-US"/>
        </w:rPr>
        <w:t xml:space="preserve"> = </w:t>
      </w:r>
      <w:r>
        <w:rPr>
          <w:rFonts w:ascii="Times New Roman" w:hAnsi="Times New Roman" w:cs="Times New Roman"/>
          <w:sz w:val="24"/>
          <w:szCs w:val="24"/>
          <w:lang w:val="en-US"/>
        </w:rPr>
        <w:t>0</w:t>
      </w:r>
      <w:r w:rsidRPr="008D6895">
        <w:rPr>
          <w:rFonts w:ascii="Times New Roman" w:hAnsi="Times New Roman" w:cs="Times New Roman"/>
          <w:sz w:val="24"/>
          <w:szCs w:val="24"/>
          <w:lang w:val="en-US"/>
        </w:rPr>
        <w:t>.02), with NC-MCI patients having more A</w:t>
      </w:r>
      <w:r>
        <w:rPr>
          <w:rFonts w:ascii="Times New Roman" w:hAnsi="Times New Roman" w:cs="Times New Roman"/>
          <w:sz w:val="24"/>
          <w:szCs w:val="24"/>
          <w:lang w:val="en-US"/>
        </w:rPr>
        <w:t>PO</w:t>
      </w:r>
      <w:r w:rsidRPr="008D6895">
        <w:rPr>
          <w:rFonts w:ascii="Times New Roman" w:hAnsi="Times New Roman" w:cs="Times New Roman"/>
          <w:sz w:val="24"/>
          <w:szCs w:val="24"/>
          <w:lang w:val="en-US"/>
        </w:rPr>
        <w:t>E</w:t>
      </w:r>
      <w:r>
        <w:rPr>
          <w:rFonts w:ascii="Times New Roman" w:hAnsi="Times New Roman" w:cs="Times New Roman"/>
          <w:sz w:val="24"/>
          <w:szCs w:val="24"/>
          <w:lang w:val="en-US"/>
        </w:rPr>
        <w:sym w:font="Symbol" w:char="F065"/>
      </w:r>
      <w:r w:rsidRPr="008D6895">
        <w:rPr>
          <w:rFonts w:ascii="Times New Roman" w:hAnsi="Times New Roman" w:cs="Times New Roman"/>
          <w:sz w:val="24"/>
          <w:szCs w:val="24"/>
          <w:lang w:val="en-US"/>
        </w:rPr>
        <w:t>4 alleles than NC-NC patients, and with respect to the number of cardiac events (</w:t>
      </w:r>
      <w:r w:rsidRPr="008D6895">
        <w:rPr>
          <w:rFonts w:ascii="Times New Roman" w:hAnsi="Times New Roman" w:cs="Times New Roman"/>
          <w:i/>
          <w:sz w:val="24"/>
          <w:szCs w:val="24"/>
          <w:lang w:val="en-US"/>
        </w:rPr>
        <w:t>p</w:t>
      </w:r>
      <w:r w:rsidRPr="008D6895">
        <w:rPr>
          <w:rFonts w:ascii="Times New Roman" w:hAnsi="Times New Roman" w:cs="Times New Roman"/>
          <w:sz w:val="24"/>
          <w:szCs w:val="24"/>
          <w:lang w:val="en-US"/>
        </w:rPr>
        <w:t xml:space="preserve"> = </w:t>
      </w:r>
      <w:r>
        <w:rPr>
          <w:rFonts w:ascii="Times New Roman" w:hAnsi="Times New Roman" w:cs="Times New Roman"/>
          <w:sz w:val="24"/>
          <w:szCs w:val="24"/>
          <w:lang w:val="en-US"/>
        </w:rPr>
        <w:t>0</w:t>
      </w:r>
      <w:r w:rsidRPr="008D6895">
        <w:rPr>
          <w:rFonts w:ascii="Times New Roman" w:hAnsi="Times New Roman" w:cs="Times New Roman"/>
          <w:sz w:val="24"/>
          <w:szCs w:val="24"/>
          <w:lang w:val="en-US"/>
        </w:rPr>
        <w:t xml:space="preserve">.004), which was likewise greater in the NC-MCI group, while groups were comparable with respect to the scores on the Geriatric Depression Scale (GDS), body mass index (BMI), use of antidepressant medication, smoking status, prevalence of diabetes, history of stroke and cancer, and severe systemic diseases (all </w:t>
      </w:r>
      <w:r w:rsidRPr="008D6895">
        <w:rPr>
          <w:rFonts w:ascii="Times New Roman" w:hAnsi="Times New Roman" w:cs="Times New Roman"/>
          <w:i/>
          <w:sz w:val="24"/>
          <w:szCs w:val="24"/>
          <w:lang w:val="en-US"/>
        </w:rPr>
        <w:t>p</w:t>
      </w:r>
      <w:r w:rsidRPr="008D6895">
        <w:rPr>
          <w:rFonts w:ascii="Times New Roman" w:hAnsi="Times New Roman" w:cs="Times New Roman"/>
          <w:sz w:val="24"/>
          <w:szCs w:val="24"/>
          <w:lang w:val="en-US"/>
        </w:rPr>
        <w:t xml:space="preserve">-values ≥ </w:t>
      </w:r>
      <w:r>
        <w:rPr>
          <w:rFonts w:ascii="Times New Roman" w:hAnsi="Times New Roman" w:cs="Times New Roman"/>
          <w:sz w:val="24"/>
          <w:szCs w:val="24"/>
          <w:lang w:val="en-US"/>
        </w:rPr>
        <w:t>0</w:t>
      </w:r>
      <w:r w:rsidRPr="008D6895">
        <w:rPr>
          <w:rFonts w:ascii="Times New Roman" w:hAnsi="Times New Roman" w:cs="Times New Roman"/>
          <w:sz w:val="24"/>
          <w:szCs w:val="24"/>
          <w:lang w:val="en-US"/>
        </w:rPr>
        <w:t>.13).</w:t>
      </w:r>
    </w:p>
    <w:p w:rsidR="00372838" w:rsidRPr="008D6895" w:rsidRDefault="00372838" w:rsidP="00372838">
      <w:pPr>
        <w:tabs>
          <w:tab w:val="left" w:pos="360"/>
        </w:tabs>
        <w:spacing w:after="0" w:line="480" w:lineRule="auto"/>
        <w:rPr>
          <w:rFonts w:ascii="Times New Roman" w:hAnsi="Times New Roman" w:cs="Times New Roman"/>
          <w:sz w:val="24"/>
          <w:szCs w:val="24"/>
          <w:lang w:val="en-US"/>
        </w:rPr>
      </w:pPr>
      <w:r w:rsidRPr="008D6895">
        <w:rPr>
          <w:rFonts w:ascii="Times New Roman" w:hAnsi="Times New Roman" w:cs="Times New Roman"/>
          <w:sz w:val="24"/>
          <w:szCs w:val="24"/>
          <w:lang w:val="en-US"/>
        </w:rPr>
        <w:br w:type="page"/>
      </w:r>
    </w:p>
    <w:p w:rsidR="00372838" w:rsidRDefault="00372838" w:rsidP="00372838">
      <w:pPr>
        <w:tabs>
          <w:tab w:val="left" w:pos="360"/>
        </w:tabs>
        <w:spacing w:after="0" w:line="240" w:lineRule="auto"/>
        <w:rPr>
          <w:rFonts w:ascii="Times New Roman" w:hAnsi="Times New Roman" w:cs="Times New Roman"/>
          <w:sz w:val="24"/>
          <w:szCs w:val="24"/>
          <w:lang w:val="en-US"/>
        </w:rPr>
      </w:pPr>
      <w:r w:rsidRPr="009144F0">
        <w:rPr>
          <w:rFonts w:ascii="Times New Roman" w:hAnsi="Times New Roman" w:cs="Times New Roman"/>
          <w:b/>
          <w:sz w:val="24"/>
          <w:szCs w:val="24"/>
          <w:lang w:val="en-US"/>
        </w:rPr>
        <w:lastRenderedPageBreak/>
        <w:t>Supplementary Table 1.</w:t>
      </w:r>
      <w:r w:rsidRPr="008D6895">
        <w:rPr>
          <w:rFonts w:ascii="Times New Roman" w:hAnsi="Times New Roman" w:cs="Times New Roman"/>
          <w:sz w:val="24"/>
          <w:szCs w:val="24"/>
          <w:lang w:val="en-US"/>
        </w:rPr>
        <w:t>Participants’ APOE status and health characteristic</w:t>
      </w:r>
      <w:r>
        <w:rPr>
          <w:rFonts w:ascii="Times New Roman" w:hAnsi="Times New Roman" w:cs="Times New Roman"/>
          <w:sz w:val="24"/>
          <w:szCs w:val="24"/>
          <w:lang w:val="en-US"/>
        </w:rPr>
        <w:t>s at time of MCI diagnosis (i.e.</w:t>
      </w:r>
      <w:r w:rsidRPr="008D6895">
        <w:rPr>
          <w:rFonts w:ascii="Times New Roman" w:hAnsi="Times New Roman" w:cs="Times New Roman"/>
          <w:sz w:val="24"/>
          <w:szCs w:val="24"/>
          <w:lang w:val="en-US"/>
        </w:rPr>
        <w:t>, visit 0).</w:t>
      </w:r>
    </w:p>
    <w:p w:rsidR="00372838" w:rsidRPr="008D6895" w:rsidRDefault="00372838" w:rsidP="00372838">
      <w:pPr>
        <w:tabs>
          <w:tab w:val="left" w:pos="360"/>
        </w:tabs>
        <w:spacing w:after="0" w:line="240" w:lineRule="auto"/>
        <w:rPr>
          <w:rFonts w:ascii="Times New Roman" w:hAnsi="Times New Roman" w:cs="Times New Roman"/>
          <w:sz w:val="24"/>
          <w:szCs w:val="24"/>
          <w:lang w:val="en-US"/>
        </w:rPr>
      </w:pPr>
    </w:p>
    <w:tbl>
      <w:tblPr>
        <w:tblStyle w:val="TableGrid"/>
        <w:tblW w:w="0" w:type="auto"/>
        <w:tblLook w:val="04A0"/>
      </w:tblPr>
      <w:tblGrid>
        <w:gridCol w:w="4219"/>
        <w:gridCol w:w="1618"/>
        <w:gridCol w:w="1406"/>
        <w:gridCol w:w="1151"/>
        <w:gridCol w:w="756"/>
      </w:tblGrid>
      <w:tr w:rsidR="00372838" w:rsidRPr="008D6895" w:rsidTr="002C361A">
        <w:trPr>
          <w:trHeight w:val="544"/>
        </w:trPr>
        <w:tc>
          <w:tcPr>
            <w:tcW w:w="4219" w:type="dxa"/>
            <w:tcBorders>
              <w:left w:val="nil"/>
              <w:bottom w:val="single" w:sz="4" w:space="0" w:color="auto"/>
              <w:right w:val="nil"/>
            </w:tcBorders>
          </w:tcPr>
          <w:p w:rsidR="00372838" w:rsidRPr="008D6895" w:rsidRDefault="00372838" w:rsidP="002C361A">
            <w:pPr>
              <w:tabs>
                <w:tab w:val="left" w:pos="360"/>
              </w:tabs>
              <w:rPr>
                <w:rFonts w:ascii="Times New Roman" w:hAnsi="Times New Roman" w:cs="Times New Roman"/>
                <w:sz w:val="24"/>
                <w:szCs w:val="24"/>
                <w:lang w:val="en-US"/>
              </w:rPr>
            </w:pPr>
          </w:p>
        </w:tc>
        <w:tc>
          <w:tcPr>
            <w:tcW w:w="1618" w:type="dxa"/>
            <w:tcBorders>
              <w:left w:val="nil"/>
              <w:bottom w:val="single" w:sz="4" w:space="0" w:color="auto"/>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NC-NC</w:t>
            </w:r>
          </w:p>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(n = 60)</w:t>
            </w:r>
          </w:p>
        </w:tc>
        <w:tc>
          <w:tcPr>
            <w:tcW w:w="1406" w:type="dxa"/>
            <w:tcBorders>
              <w:left w:val="nil"/>
              <w:bottom w:val="single" w:sz="4" w:space="0" w:color="auto"/>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NC-MCI</w:t>
            </w:r>
          </w:p>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(n = 27)</w:t>
            </w:r>
          </w:p>
        </w:tc>
        <w:tc>
          <w:tcPr>
            <w:tcW w:w="1151" w:type="dxa"/>
            <w:tcBorders>
              <w:left w:val="nil"/>
              <w:bottom w:val="single" w:sz="4" w:space="0" w:color="auto"/>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T/χ</w:t>
            </w:r>
            <w:r w:rsidRPr="008D6895">
              <w:rPr>
                <w:rFonts w:ascii="Times New Roman" w:hAnsi="Times New Roman" w:cs="Times New Roman"/>
                <w:sz w:val="24"/>
                <w:szCs w:val="24"/>
                <w:vertAlign w:val="superscript"/>
                <w:lang w:val="en-US"/>
              </w:rPr>
              <w:t>2*</w:t>
            </w:r>
          </w:p>
        </w:tc>
        <w:tc>
          <w:tcPr>
            <w:tcW w:w="753" w:type="dxa"/>
            <w:tcBorders>
              <w:left w:val="nil"/>
              <w:bottom w:val="single" w:sz="4" w:space="0" w:color="auto"/>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p w:rsidR="00372838" w:rsidRPr="008D6895" w:rsidRDefault="00372838" w:rsidP="002C361A">
            <w:pPr>
              <w:tabs>
                <w:tab w:val="left" w:pos="360"/>
              </w:tabs>
              <w:jc w:val="center"/>
              <w:rPr>
                <w:rFonts w:ascii="Times New Roman" w:hAnsi="Times New Roman" w:cs="Times New Roman"/>
                <w:i/>
                <w:sz w:val="24"/>
                <w:szCs w:val="24"/>
                <w:lang w:val="en-US"/>
              </w:rPr>
            </w:pPr>
            <w:r w:rsidRPr="008D6895">
              <w:rPr>
                <w:rFonts w:ascii="Times New Roman" w:hAnsi="Times New Roman" w:cs="Times New Roman"/>
                <w:i/>
                <w:sz w:val="24"/>
                <w:szCs w:val="24"/>
                <w:lang w:val="en-US"/>
              </w:rPr>
              <w:t>p</w:t>
            </w:r>
          </w:p>
        </w:tc>
      </w:tr>
      <w:tr w:rsidR="00372838" w:rsidRPr="008D6895" w:rsidTr="002C361A">
        <w:trPr>
          <w:trHeight w:val="544"/>
        </w:trPr>
        <w:tc>
          <w:tcPr>
            <w:tcW w:w="4219" w:type="dxa"/>
            <w:tcBorders>
              <w:left w:val="nil"/>
              <w:bottom w:val="nil"/>
              <w:right w:val="nil"/>
            </w:tcBorders>
          </w:tcPr>
          <w:p w:rsidR="00372838" w:rsidRPr="008D6895" w:rsidRDefault="00372838" w:rsidP="002C361A">
            <w:pPr>
              <w:tabs>
                <w:tab w:val="left" w:pos="360"/>
              </w:tabs>
              <w:rPr>
                <w:rFonts w:ascii="Times New Roman" w:hAnsi="Times New Roman" w:cs="Times New Roman"/>
                <w:sz w:val="24"/>
                <w:szCs w:val="24"/>
                <w:lang w:val="en-US"/>
              </w:rPr>
            </w:pPr>
            <w:r w:rsidRPr="008D6895">
              <w:rPr>
                <w:rFonts w:ascii="Times New Roman" w:hAnsi="Times New Roman" w:cs="Times New Roman"/>
                <w:sz w:val="24"/>
                <w:szCs w:val="24"/>
                <w:lang w:val="en-US"/>
              </w:rPr>
              <w:t>APOE ε4 status</w:t>
            </w:r>
          </w:p>
        </w:tc>
        <w:tc>
          <w:tcPr>
            <w:tcW w:w="1618" w:type="dxa"/>
            <w:tcBorders>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c>
          <w:tcPr>
            <w:tcW w:w="1406" w:type="dxa"/>
            <w:tcBorders>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c>
          <w:tcPr>
            <w:tcW w:w="1151" w:type="dxa"/>
            <w:tcBorders>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7.9</w:t>
            </w:r>
            <w:r w:rsidRPr="008D6895">
              <w:rPr>
                <w:rFonts w:ascii="Times New Roman" w:hAnsi="Times New Roman" w:cs="Times New Roman"/>
                <w:sz w:val="24"/>
                <w:szCs w:val="24"/>
                <w:vertAlign w:val="superscript"/>
                <w:lang w:val="en-US"/>
              </w:rPr>
              <w:t>*</w:t>
            </w:r>
          </w:p>
        </w:tc>
        <w:tc>
          <w:tcPr>
            <w:tcW w:w="753" w:type="dxa"/>
            <w:tcBorders>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8D6895">
              <w:rPr>
                <w:rFonts w:ascii="Times New Roman" w:hAnsi="Times New Roman" w:cs="Times New Roman"/>
                <w:sz w:val="24"/>
                <w:szCs w:val="24"/>
                <w:lang w:val="en-US"/>
              </w:rPr>
              <w:t>.02</w:t>
            </w:r>
          </w:p>
        </w:tc>
      </w:tr>
      <w:tr w:rsidR="00372838" w:rsidRPr="008D6895" w:rsidTr="002C361A">
        <w:trPr>
          <w:trHeight w:val="544"/>
        </w:trPr>
        <w:tc>
          <w:tcPr>
            <w:tcW w:w="4219" w:type="dxa"/>
            <w:tcBorders>
              <w:top w:val="nil"/>
              <w:left w:val="nil"/>
              <w:bottom w:val="nil"/>
              <w:right w:val="nil"/>
            </w:tcBorders>
          </w:tcPr>
          <w:p w:rsidR="00372838" w:rsidRPr="008D6895" w:rsidRDefault="00372838" w:rsidP="002C361A">
            <w:pPr>
              <w:tabs>
                <w:tab w:val="left" w:pos="360"/>
              </w:tabs>
              <w:rPr>
                <w:rFonts w:ascii="Times New Roman" w:hAnsi="Times New Roman" w:cs="Times New Roman"/>
                <w:sz w:val="24"/>
                <w:szCs w:val="24"/>
                <w:lang w:val="en-US"/>
              </w:rPr>
            </w:pPr>
            <w:proofErr w:type="gramStart"/>
            <w:r w:rsidRPr="008D6895">
              <w:rPr>
                <w:rFonts w:ascii="Times New Roman" w:hAnsi="Times New Roman" w:cs="Times New Roman"/>
                <w:sz w:val="24"/>
                <w:szCs w:val="24"/>
                <w:lang w:val="en-US"/>
              </w:rPr>
              <w:t>no</w:t>
            </w:r>
            <w:proofErr w:type="gramEnd"/>
            <w:r w:rsidRPr="008D6895">
              <w:rPr>
                <w:rFonts w:ascii="Times New Roman" w:hAnsi="Times New Roman" w:cs="Times New Roman"/>
                <w:sz w:val="24"/>
                <w:szCs w:val="24"/>
                <w:lang w:val="en-US"/>
              </w:rPr>
              <w:t xml:space="preserve"> ε4 allele, no. (%)</w:t>
            </w:r>
          </w:p>
        </w:tc>
        <w:tc>
          <w:tcPr>
            <w:tcW w:w="1618"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43 (71.7)</w:t>
            </w:r>
          </w:p>
        </w:tc>
        <w:tc>
          <w:tcPr>
            <w:tcW w:w="1406"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11 (40.7)</w:t>
            </w:r>
          </w:p>
        </w:tc>
        <w:tc>
          <w:tcPr>
            <w:tcW w:w="1151"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c>
          <w:tcPr>
            <w:tcW w:w="753"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r>
      <w:tr w:rsidR="00372838" w:rsidRPr="008D6895" w:rsidTr="002C361A">
        <w:trPr>
          <w:trHeight w:val="544"/>
        </w:trPr>
        <w:tc>
          <w:tcPr>
            <w:tcW w:w="4219" w:type="dxa"/>
            <w:tcBorders>
              <w:top w:val="nil"/>
              <w:left w:val="nil"/>
              <w:bottom w:val="nil"/>
              <w:right w:val="nil"/>
            </w:tcBorders>
          </w:tcPr>
          <w:p w:rsidR="00372838" w:rsidRPr="008D6895" w:rsidRDefault="00372838" w:rsidP="002C361A">
            <w:pPr>
              <w:tabs>
                <w:tab w:val="left" w:pos="360"/>
              </w:tabs>
              <w:rPr>
                <w:rFonts w:ascii="Times New Roman" w:hAnsi="Times New Roman" w:cs="Times New Roman"/>
                <w:sz w:val="24"/>
                <w:szCs w:val="24"/>
                <w:lang w:val="en-US"/>
              </w:rPr>
            </w:pPr>
            <w:proofErr w:type="gramStart"/>
            <w:r w:rsidRPr="008D6895">
              <w:rPr>
                <w:rFonts w:ascii="Times New Roman" w:hAnsi="Times New Roman" w:cs="Times New Roman"/>
                <w:sz w:val="24"/>
                <w:szCs w:val="24"/>
                <w:lang w:val="en-US"/>
              </w:rPr>
              <w:t>one</w:t>
            </w:r>
            <w:proofErr w:type="gramEnd"/>
            <w:r w:rsidRPr="008D6895">
              <w:rPr>
                <w:rFonts w:ascii="Times New Roman" w:hAnsi="Times New Roman" w:cs="Times New Roman"/>
                <w:sz w:val="24"/>
                <w:szCs w:val="24"/>
                <w:lang w:val="en-US"/>
              </w:rPr>
              <w:t xml:space="preserve"> ε4 allele, no. (%)</w:t>
            </w:r>
          </w:p>
        </w:tc>
        <w:tc>
          <w:tcPr>
            <w:tcW w:w="1618"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15 (25.0)</w:t>
            </w:r>
          </w:p>
        </w:tc>
        <w:tc>
          <w:tcPr>
            <w:tcW w:w="1406"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15 (55.6)</w:t>
            </w:r>
          </w:p>
        </w:tc>
        <w:tc>
          <w:tcPr>
            <w:tcW w:w="1151"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c>
          <w:tcPr>
            <w:tcW w:w="753"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r>
      <w:tr w:rsidR="00372838" w:rsidRPr="008D6895" w:rsidTr="002C361A">
        <w:trPr>
          <w:trHeight w:val="544"/>
        </w:trPr>
        <w:tc>
          <w:tcPr>
            <w:tcW w:w="4219" w:type="dxa"/>
            <w:tcBorders>
              <w:top w:val="nil"/>
              <w:left w:val="nil"/>
              <w:bottom w:val="nil"/>
              <w:right w:val="nil"/>
            </w:tcBorders>
          </w:tcPr>
          <w:p w:rsidR="00372838" w:rsidRPr="008D6895" w:rsidRDefault="00372838" w:rsidP="002C361A">
            <w:pPr>
              <w:tabs>
                <w:tab w:val="left" w:pos="360"/>
              </w:tabs>
              <w:rPr>
                <w:rFonts w:ascii="Times New Roman" w:hAnsi="Times New Roman" w:cs="Times New Roman"/>
                <w:sz w:val="24"/>
                <w:szCs w:val="24"/>
                <w:lang w:val="en-US"/>
              </w:rPr>
            </w:pPr>
            <w:proofErr w:type="gramStart"/>
            <w:r w:rsidRPr="008D6895">
              <w:rPr>
                <w:rFonts w:ascii="Times New Roman" w:hAnsi="Times New Roman" w:cs="Times New Roman"/>
                <w:sz w:val="24"/>
                <w:szCs w:val="24"/>
                <w:lang w:val="en-US"/>
              </w:rPr>
              <w:t>two</w:t>
            </w:r>
            <w:proofErr w:type="gramEnd"/>
            <w:r w:rsidRPr="008D6895">
              <w:rPr>
                <w:rFonts w:ascii="Times New Roman" w:hAnsi="Times New Roman" w:cs="Times New Roman"/>
                <w:sz w:val="24"/>
                <w:szCs w:val="24"/>
                <w:lang w:val="en-US"/>
              </w:rPr>
              <w:t xml:space="preserve"> ε4 allele, no. (%)</w:t>
            </w:r>
          </w:p>
        </w:tc>
        <w:tc>
          <w:tcPr>
            <w:tcW w:w="1618"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2 (3.3)</w:t>
            </w:r>
          </w:p>
        </w:tc>
        <w:tc>
          <w:tcPr>
            <w:tcW w:w="1406"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1 (3.7)</w:t>
            </w:r>
          </w:p>
        </w:tc>
        <w:tc>
          <w:tcPr>
            <w:tcW w:w="1151"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c>
          <w:tcPr>
            <w:tcW w:w="753"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r>
      <w:tr w:rsidR="00372838" w:rsidRPr="008D6895" w:rsidTr="002C361A">
        <w:trPr>
          <w:trHeight w:val="544"/>
        </w:trPr>
        <w:tc>
          <w:tcPr>
            <w:tcW w:w="4219" w:type="dxa"/>
            <w:tcBorders>
              <w:top w:val="nil"/>
              <w:left w:val="nil"/>
              <w:bottom w:val="nil"/>
              <w:right w:val="nil"/>
            </w:tcBorders>
          </w:tcPr>
          <w:p w:rsidR="00372838" w:rsidRPr="008D6895" w:rsidRDefault="00372838" w:rsidP="002C361A">
            <w:pPr>
              <w:tabs>
                <w:tab w:val="left" w:pos="360"/>
              </w:tabs>
              <w:rPr>
                <w:rFonts w:ascii="Times New Roman" w:hAnsi="Times New Roman" w:cs="Times New Roman"/>
                <w:sz w:val="24"/>
                <w:szCs w:val="24"/>
                <w:lang w:val="en-US"/>
              </w:rPr>
            </w:pPr>
            <w:r w:rsidRPr="008D6895">
              <w:rPr>
                <w:rFonts w:ascii="Times New Roman" w:hAnsi="Times New Roman" w:cs="Times New Roman"/>
                <w:sz w:val="24"/>
                <w:szCs w:val="24"/>
                <w:lang w:val="en-US"/>
              </w:rPr>
              <w:t>GDS, mean (SD)**</w:t>
            </w:r>
          </w:p>
        </w:tc>
        <w:tc>
          <w:tcPr>
            <w:tcW w:w="1618"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0.59 (0.84)</w:t>
            </w:r>
          </w:p>
        </w:tc>
        <w:tc>
          <w:tcPr>
            <w:tcW w:w="1406"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0.57 (1.16)</w:t>
            </w:r>
          </w:p>
        </w:tc>
        <w:tc>
          <w:tcPr>
            <w:tcW w:w="1151"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0.07</w:t>
            </w:r>
          </w:p>
        </w:tc>
        <w:tc>
          <w:tcPr>
            <w:tcW w:w="753"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8D6895">
              <w:rPr>
                <w:rFonts w:ascii="Times New Roman" w:hAnsi="Times New Roman" w:cs="Times New Roman"/>
                <w:sz w:val="24"/>
                <w:szCs w:val="24"/>
                <w:lang w:val="en-US"/>
              </w:rPr>
              <w:t>.94</w:t>
            </w:r>
          </w:p>
        </w:tc>
      </w:tr>
      <w:tr w:rsidR="00372838" w:rsidRPr="008D6895" w:rsidTr="002C361A">
        <w:trPr>
          <w:trHeight w:val="544"/>
        </w:trPr>
        <w:tc>
          <w:tcPr>
            <w:tcW w:w="4219" w:type="dxa"/>
            <w:tcBorders>
              <w:top w:val="nil"/>
              <w:left w:val="nil"/>
              <w:bottom w:val="nil"/>
              <w:right w:val="nil"/>
            </w:tcBorders>
          </w:tcPr>
          <w:p w:rsidR="00372838" w:rsidRPr="008D6895" w:rsidRDefault="00372838" w:rsidP="002C361A">
            <w:pPr>
              <w:tabs>
                <w:tab w:val="left" w:pos="360"/>
              </w:tabs>
              <w:rPr>
                <w:rFonts w:ascii="Times New Roman" w:hAnsi="Times New Roman" w:cs="Times New Roman"/>
                <w:sz w:val="24"/>
                <w:szCs w:val="24"/>
                <w:lang w:val="en-US"/>
              </w:rPr>
            </w:pPr>
            <w:r w:rsidRPr="008D6895">
              <w:rPr>
                <w:rFonts w:ascii="Times New Roman" w:hAnsi="Times New Roman" w:cs="Times New Roman"/>
                <w:sz w:val="24"/>
                <w:szCs w:val="24"/>
                <w:lang w:val="en-US"/>
              </w:rPr>
              <w:t>BMI, mean (SD)**</w:t>
            </w:r>
          </w:p>
        </w:tc>
        <w:tc>
          <w:tcPr>
            <w:tcW w:w="1618"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25.01 (2.77)</w:t>
            </w:r>
          </w:p>
        </w:tc>
        <w:tc>
          <w:tcPr>
            <w:tcW w:w="1406"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24.37 (4.56)</w:t>
            </w:r>
          </w:p>
        </w:tc>
        <w:tc>
          <w:tcPr>
            <w:tcW w:w="1151"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0.60</w:t>
            </w:r>
          </w:p>
        </w:tc>
        <w:tc>
          <w:tcPr>
            <w:tcW w:w="753"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8D6895">
              <w:rPr>
                <w:rFonts w:ascii="Times New Roman" w:hAnsi="Times New Roman" w:cs="Times New Roman"/>
                <w:sz w:val="24"/>
                <w:szCs w:val="24"/>
                <w:lang w:val="en-US"/>
              </w:rPr>
              <w:t>.56</w:t>
            </w:r>
          </w:p>
        </w:tc>
      </w:tr>
      <w:tr w:rsidR="00372838" w:rsidRPr="008D6895" w:rsidTr="002C361A">
        <w:trPr>
          <w:trHeight w:val="544"/>
        </w:trPr>
        <w:tc>
          <w:tcPr>
            <w:tcW w:w="4219" w:type="dxa"/>
            <w:tcBorders>
              <w:top w:val="nil"/>
              <w:left w:val="nil"/>
              <w:bottom w:val="nil"/>
              <w:right w:val="nil"/>
            </w:tcBorders>
          </w:tcPr>
          <w:p w:rsidR="00372838" w:rsidRPr="008D6895" w:rsidRDefault="00372838" w:rsidP="002C361A">
            <w:pPr>
              <w:tabs>
                <w:tab w:val="left" w:pos="360"/>
              </w:tabs>
              <w:rPr>
                <w:rFonts w:ascii="Times New Roman" w:hAnsi="Times New Roman" w:cs="Times New Roman"/>
                <w:sz w:val="24"/>
                <w:szCs w:val="24"/>
                <w:lang w:val="en-US"/>
              </w:rPr>
            </w:pPr>
            <w:proofErr w:type="gramStart"/>
            <w:r w:rsidRPr="008D6895">
              <w:rPr>
                <w:rFonts w:ascii="Times New Roman" w:hAnsi="Times New Roman" w:cs="Times New Roman"/>
                <w:sz w:val="24"/>
                <w:szCs w:val="24"/>
                <w:lang w:val="en-US"/>
              </w:rPr>
              <w:t>use</w:t>
            </w:r>
            <w:proofErr w:type="gramEnd"/>
            <w:r w:rsidRPr="008D6895">
              <w:rPr>
                <w:rFonts w:ascii="Times New Roman" w:hAnsi="Times New Roman" w:cs="Times New Roman"/>
                <w:sz w:val="24"/>
                <w:szCs w:val="24"/>
                <w:lang w:val="en-US"/>
              </w:rPr>
              <w:t xml:space="preserve"> of antidepressant medication, no. (%)</w:t>
            </w:r>
          </w:p>
        </w:tc>
        <w:tc>
          <w:tcPr>
            <w:tcW w:w="1618"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3 (5.0)</w:t>
            </w:r>
          </w:p>
        </w:tc>
        <w:tc>
          <w:tcPr>
            <w:tcW w:w="1406"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2 (7.41)</w:t>
            </w:r>
          </w:p>
        </w:tc>
        <w:tc>
          <w:tcPr>
            <w:tcW w:w="1151"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c>
          <w:tcPr>
            <w:tcW w:w="753"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r>
      <w:tr w:rsidR="00372838" w:rsidRPr="008D6895" w:rsidTr="002C361A">
        <w:trPr>
          <w:trHeight w:val="544"/>
        </w:trPr>
        <w:tc>
          <w:tcPr>
            <w:tcW w:w="4219" w:type="dxa"/>
            <w:tcBorders>
              <w:top w:val="nil"/>
              <w:left w:val="nil"/>
              <w:bottom w:val="nil"/>
              <w:right w:val="nil"/>
            </w:tcBorders>
          </w:tcPr>
          <w:p w:rsidR="00372838" w:rsidRPr="008D6895" w:rsidRDefault="00372838" w:rsidP="002C361A">
            <w:pPr>
              <w:tabs>
                <w:tab w:val="left" w:pos="360"/>
              </w:tabs>
              <w:rPr>
                <w:rFonts w:ascii="Times New Roman" w:hAnsi="Times New Roman" w:cs="Times New Roman"/>
                <w:sz w:val="24"/>
                <w:szCs w:val="24"/>
                <w:lang w:val="en-US"/>
              </w:rPr>
            </w:pPr>
            <w:r w:rsidRPr="008D6895">
              <w:rPr>
                <w:rFonts w:ascii="Times New Roman" w:hAnsi="Times New Roman" w:cs="Times New Roman"/>
                <w:sz w:val="24"/>
                <w:szCs w:val="24"/>
                <w:lang w:val="en-US"/>
              </w:rPr>
              <w:t>Smoking status</w:t>
            </w:r>
          </w:p>
        </w:tc>
        <w:tc>
          <w:tcPr>
            <w:tcW w:w="1618"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c>
          <w:tcPr>
            <w:tcW w:w="1406"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c>
          <w:tcPr>
            <w:tcW w:w="1151"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1.86</w:t>
            </w:r>
            <w:r w:rsidRPr="008D6895">
              <w:rPr>
                <w:rFonts w:ascii="Times New Roman" w:hAnsi="Times New Roman" w:cs="Times New Roman"/>
                <w:sz w:val="24"/>
                <w:szCs w:val="24"/>
                <w:vertAlign w:val="superscript"/>
                <w:lang w:val="en-US"/>
              </w:rPr>
              <w:t>*</w:t>
            </w:r>
          </w:p>
        </w:tc>
        <w:tc>
          <w:tcPr>
            <w:tcW w:w="753"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0.40</w:t>
            </w:r>
          </w:p>
        </w:tc>
      </w:tr>
      <w:tr w:rsidR="00372838" w:rsidRPr="008D6895" w:rsidTr="002C361A">
        <w:trPr>
          <w:trHeight w:val="544"/>
        </w:trPr>
        <w:tc>
          <w:tcPr>
            <w:tcW w:w="4219" w:type="dxa"/>
            <w:tcBorders>
              <w:top w:val="nil"/>
              <w:left w:val="nil"/>
              <w:bottom w:val="nil"/>
              <w:right w:val="nil"/>
            </w:tcBorders>
          </w:tcPr>
          <w:p w:rsidR="00372838" w:rsidRPr="008D6895" w:rsidRDefault="00372838" w:rsidP="002C361A">
            <w:pPr>
              <w:tabs>
                <w:tab w:val="left" w:pos="360"/>
              </w:tabs>
              <w:rPr>
                <w:rFonts w:ascii="Times New Roman" w:hAnsi="Times New Roman" w:cs="Times New Roman"/>
                <w:sz w:val="24"/>
                <w:szCs w:val="24"/>
                <w:lang w:val="en-US"/>
              </w:rPr>
            </w:pPr>
            <w:proofErr w:type="gramStart"/>
            <w:r w:rsidRPr="008D6895">
              <w:rPr>
                <w:rFonts w:ascii="Times New Roman" w:hAnsi="Times New Roman" w:cs="Times New Roman"/>
                <w:sz w:val="24"/>
                <w:szCs w:val="24"/>
                <w:lang w:val="en-US"/>
              </w:rPr>
              <w:t>current</w:t>
            </w:r>
            <w:proofErr w:type="gramEnd"/>
            <w:r w:rsidRPr="008D6895">
              <w:rPr>
                <w:rFonts w:ascii="Times New Roman" w:hAnsi="Times New Roman" w:cs="Times New Roman"/>
                <w:sz w:val="24"/>
                <w:szCs w:val="24"/>
                <w:lang w:val="en-US"/>
              </w:rPr>
              <w:t xml:space="preserve"> smoker, no. (%)</w:t>
            </w:r>
          </w:p>
        </w:tc>
        <w:tc>
          <w:tcPr>
            <w:tcW w:w="1618"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4 (6.67)</w:t>
            </w:r>
          </w:p>
        </w:tc>
        <w:tc>
          <w:tcPr>
            <w:tcW w:w="1406"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2 (7.41)</w:t>
            </w:r>
          </w:p>
        </w:tc>
        <w:tc>
          <w:tcPr>
            <w:tcW w:w="1151"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c>
          <w:tcPr>
            <w:tcW w:w="753"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r>
      <w:tr w:rsidR="00372838" w:rsidRPr="008D6895" w:rsidTr="002C361A">
        <w:trPr>
          <w:trHeight w:val="544"/>
        </w:trPr>
        <w:tc>
          <w:tcPr>
            <w:tcW w:w="4219" w:type="dxa"/>
            <w:tcBorders>
              <w:top w:val="nil"/>
              <w:left w:val="nil"/>
              <w:bottom w:val="nil"/>
              <w:right w:val="nil"/>
            </w:tcBorders>
          </w:tcPr>
          <w:p w:rsidR="00372838" w:rsidRPr="008D6895" w:rsidRDefault="00372838" w:rsidP="002C361A">
            <w:pPr>
              <w:tabs>
                <w:tab w:val="left" w:pos="360"/>
              </w:tabs>
              <w:rPr>
                <w:rFonts w:ascii="Times New Roman" w:hAnsi="Times New Roman" w:cs="Times New Roman"/>
                <w:sz w:val="24"/>
                <w:szCs w:val="24"/>
                <w:lang w:val="en-US"/>
              </w:rPr>
            </w:pPr>
            <w:proofErr w:type="gramStart"/>
            <w:r w:rsidRPr="008D6895">
              <w:rPr>
                <w:rFonts w:ascii="Times New Roman" w:hAnsi="Times New Roman" w:cs="Times New Roman"/>
                <w:sz w:val="24"/>
                <w:szCs w:val="24"/>
                <w:lang w:val="en-US"/>
              </w:rPr>
              <w:t>ex-smoker</w:t>
            </w:r>
            <w:proofErr w:type="gramEnd"/>
            <w:r w:rsidRPr="008D6895">
              <w:rPr>
                <w:rFonts w:ascii="Times New Roman" w:hAnsi="Times New Roman" w:cs="Times New Roman"/>
                <w:sz w:val="24"/>
                <w:szCs w:val="24"/>
                <w:lang w:val="en-US"/>
              </w:rPr>
              <w:t>, no. (%)</w:t>
            </w:r>
          </w:p>
        </w:tc>
        <w:tc>
          <w:tcPr>
            <w:tcW w:w="1618"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14 (23.33)</w:t>
            </w:r>
          </w:p>
        </w:tc>
        <w:tc>
          <w:tcPr>
            <w:tcW w:w="1406"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10 (37.04)</w:t>
            </w:r>
          </w:p>
        </w:tc>
        <w:tc>
          <w:tcPr>
            <w:tcW w:w="1151"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c>
          <w:tcPr>
            <w:tcW w:w="753"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r>
      <w:tr w:rsidR="00372838" w:rsidRPr="008D6895" w:rsidTr="002C361A">
        <w:trPr>
          <w:trHeight w:val="544"/>
        </w:trPr>
        <w:tc>
          <w:tcPr>
            <w:tcW w:w="4219" w:type="dxa"/>
            <w:tcBorders>
              <w:top w:val="nil"/>
              <w:left w:val="nil"/>
              <w:bottom w:val="nil"/>
              <w:right w:val="nil"/>
            </w:tcBorders>
          </w:tcPr>
          <w:p w:rsidR="00372838" w:rsidRPr="008D6895" w:rsidRDefault="00372838" w:rsidP="002C361A">
            <w:pPr>
              <w:tabs>
                <w:tab w:val="left" w:pos="360"/>
              </w:tabs>
              <w:rPr>
                <w:rFonts w:ascii="Times New Roman" w:hAnsi="Times New Roman" w:cs="Times New Roman"/>
                <w:sz w:val="24"/>
                <w:szCs w:val="24"/>
                <w:lang w:val="en-US"/>
              </w:rPr>
            </w:pPr>
            <w:proofErr w:type="gramStart"/>
            <w:r w:rsidRPr="008D6895">
              <w:rPr>
                <w:rFonts w:ascii="Times New Roman" w:hAnsi="Times New Roman" w:cs="Times New Roman"/>
                <w:sz w:val="24"/>
                <w:szCs w:val="24"/>
                <w:lang w:val="en-US"/>
              </w:rPr>
              <w:t>non-smoker</w:t>
            </w:r>
            <w:proofErr w:type="gramEnd"/>
            <w:r w:rsidRPr="008D6895">
              <w:rPr>
                <w:rFonts w:ascii="Times New Roman" w:hAnsi="Times New Roman" w:cs="Times New Roman"/>
                <w:sz w:val="24"/>
                <w:szCs w:val="24"/>
                <w:lang w:val="en-US"/>
              </w:rPr>
              <w:t>, no. (%)</w:t>
            </w:r>
          </w:p>
        </w:tc>
        <w:tc>
          <w:tcPr>
            <w:tcW w:w="1618"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42 (70.00)</w:t>
            </w:r>
          </w:p>
        </w:tc>
        <w:tc>
          <w:tcPr>
            <w:tcW w:w="1406"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15 (55.56)</w:t>
            </w:r>
          </w:p>
        </w:tc>
        <w:tc>
          <w:tcPr>
            <w:tcW w:w="1151"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c>
          <w:tcPr>
            <w:tcW w:w="753"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p>
        </w:tc>
      </w:tr>
      <w:tr w:rsidR="00372838" w:rsidRPr="008D6895" w:rsidTr="002C361A">
        <w:trPr>
          <w:trHeight w:val="544"/>
        </w:trPr>
        <w:tc>
          <w:tcPr>
            <w:tcW w:w="4219" w:type="dxa"/>
            <w:tcBorders>
              <w:top w:val="nil"/>
              <w:left w:val="nil"/>
              <w:bottom w:val="nil"/>
              <w:right w:val="nil"/>
            </w:tcBorders>
          </w:tcPr>
          <w:p w:rsidR="00372838" w:rsidRPr="008D6895" w:rsidRDefault="00372838" w:rsidP="002C361A">
            <w:pPr>
              <w:tabs>
                <w:tab w:val="left" w:pos="360"/>
              </w:tabs>
              <w:rPr>
                <w:rFonts w:ascii="Times New Roman" w:hAnsi="Times New Roman" w:cs="Times New Roman"/>
                <w:sz w:val="24"/>
                <w:szCs w:val="24"/>
                <w:lang w:val="en-US"/>
              </w:rPr>
            </w:pPr>
            <w:r w:rsidRPr="008D6895">
              <w:rPr>
                <w:rFonts w:ascii="Times New Roman" w:hAnsi="Times New Roman" w:cs="Times New Roman"/>
                <w:sz w:val="24"/>
                <w:szCs w:val="24"/>
                <w:lang w:val="en-US"/>
              </w:rPr>
              <w:t>Insulin-dependent diabetes, no. (%)</w:t>
            </w:r>
          </w:p>
        </w:tc>
        <w:tc>
          <w:tcPr>
            <w:tcW w:w="1618"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0 (0.00)</w:t>
            </w:r>
          </w:p>
        </w:tc>
        <w:tc>
          <w:tcPr>
            <w:tcW w:w="1406"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1 (3.70)</w:t>
            </w:r>
          </w:p>
        </w:tc>
        <w:tc>
          <w:tcPr>
            <w:tcW w:w="1151" w:type="dxa"/>
            <w:tcBorders>
              <w:top w:val="nil"/>
              <w:left w:val="nil"/>
              <w:bottom w:val="nil"/>
              <w:right w:val="nil"/>
            </w:tcBorders>
          </w:tcPr>
          <w:p w:rsidR="00372838" w:rsidRPr="008D6895" w:rsidRDefault="00372838" w:rsidP="002C361A">
            <w:pPr>
              <w:tabs>
                <w:tab w:val="left" w:pos="315"/>
                <w:tab w:val="left" w:pos="360"/>
                <w:tab w:val="center" w:pos="394"/>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2.25</w:t>
            </w:r>
            <w:r w:rsidRPr="008D6895">
              <w:rPr>
                <w:rFonts w:ascii="Times New Roman" w:hAnsi="Times New Roman" w:cs="Times New Roman"/>
                <w:sz w:val="24"/>
                <w:szCs w:val="24"/>
                <w:vertAlign w:val="superscript"/>
                <w:lang w:val="en-US"/>
              </w:rPr>
              <w:t>*</w:t>
            </w:r>
          </w:p>
        </w:tc>
        <w:tc>
          <w:tcPr>
            <w:tcW w:w="753"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8D6895">
              <w:rPr>
                <w:rFonts w:ascii="Times New Roman" w:hAnsi="Times New Roman" w:cs="Times New Roman"/>
                <w:sz w:val="24"/>
                <w:szCs w:val="24"/>
                <w:lang w:val="en-US"/>
              </w:rPr>
              <w:t>.13</w:t>
            </w:r>
          </w:p>
        </w:tc>
      </w:tr>
      <w:tr w:rsidR="00372838" w:rsidRPr="008D6895" w:rsidTr="002C361A">
        <w:trPr>
          <w:trHeight w:val="544"/>
        </w:trPr>
        <w:tc>
          <w:tcPr>
            <w:tcW w:w="4219" w:type="dxa"/>
            <w:tcBorders>
              <w:top w:val="nil"/>
              <w:left w:val="nil"/>
              <w:bottom w:val="nil"/>
              <w:right w:val="nil"/>
            </w:tcBorders>
          </w:tcPr>
          <w:p w:rsidR="00372838" w:rsidRPr="008D6895" w:rsidRDefault="00372838" w:rsidP="002C361A">
            <w:pPr>
              <w:tabs>
                <w:tab w:val="left" w:pos="360"/>
              </w:tabs>
              <w:rPr>
                <w:rFonts w:ascii="Times New Roman" w:hAnsi="Times New Roman" w:cs="Times New Roman"/>
                <w:sz w:val="24"/>
                <w:szCs w:val="24"/>
                <w:lang w:val="en-US"/>
              </w:rPr>
            </w:pPr>
            <w:r w:rsidRPr="008D6895">
              <w:rPr>
                <w:rFonts w:ascii="Times New Roman" w:hAnsi="Times New Roman" w:cs="Times New Roman"/>
                <w:sz w:val="24"/>
                <w:szCs w:val="24"/>
                <w:lang w:val="en-US"/>
              </w:rPr>
              <w:t>History of stroke, no. (%)</w:t>
            </w:r>
          </w:p>
        </w:tc>
        <w:tc>
          <w:tcPr>
            <w:tcW w:w="1618"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1 (1.67)</w:t>
            </w:r>
          </w:p>
        </w:tc>
        <w:tc>
          <w:tcPr>
            <w:tcW w:w="1406"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1 (3.70)</w:t>
            </w:r>
          </w:p>
        </w:tc>
        <w:tc>
          <w:tcPr>
            <w:tcW w:w="1151"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0.34</w:t>
            </w:r>
            <w:r w:rsidRPr="008D6895">
              <w:rPr>
                <w:rFonts w:ascii="Times New Roman" w:hAnsi="Times New Roman" w:cs="Times New Roman"/>
                <w:sz w:val="24"/>
                <w:szCs w:val="24"/>
                <w:vertAlign w:val="superscript"/>
                <w:lang w:val="en-US"/>
              </w:rPr>
              <w:t>*</w:t>
            </w:r>
          </w:p>
        </w:tc>
        <w:tc>
          <w:tcPr>
            <w:tcW w:w="753"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8D6895">
              <w:rPr>
                <w:rFonts w:ascii="Times New Roman" w:hAnsi="Times New Roman" w:cs="Times New Roman"/>
                <w:sz w:val="24"/>
                <w:szCs w:val="24"/>
                <w:lang w:val="en-US"/>
              </w:rPr>
              <w:t>.56</w:t>
            </w:r>
          </w:p>
        </w:tc>
      </w:tr>
      <w:tr w:rsidR="00372838" w:rsidRPr="008D6895" w:rsidTr="002C361A">
        <w:trPr>
          <w:trHeight w:val="544"/>
        </w:trPr>
        <w:tc>
          <w:tcPr>
            <w:tcW w:w="4219" w:type="dxa"/>
            <w:tcBorders>
              <w:top w:val="nil"/>
              <w:left w:val="nil"/>
              <w:bottom w:val="nil"/>
              <w:right w:val="nil"/>
            </w:tcBorders>
          </w:tcPr>
          <w:p w:rsidR="00372838" w:rsidRPr="008D6895" w:rsidRDefault="00372838" w:rsidP="002C361A">
            <w:pPr>
              <w:tabs>
                <w:tab w:val="left" w:pos="360"/>
              </w:tabs>
              <w:rPr>
                <w:rFonts w:ascii="Times New Roman" w:hAnsi="Times New Roman" w:cs="Times New Roman"/>
                <w:sz w:val="24"/>
                <w:szCs w:val="24"/>
                <w:lang w:val="en-US"/>
              </w:rPr>
            </w:pPr>
            <w:r w:rsidRPr="008D6895">
              <w:rPr>
                <w:rFonts w:ascii="Times New Roman" w:hAnsi="Times New Roman" w:cs="Times New Roman"/>
                <w:sz w:val="24"/>
                <w:szCs w:val="24"/>
                <w:lang w:val="en-US"/>
              </w:rPr>
              <w:t>History of cancer, no. (%)</w:t>
            </w:r>
          </w:p>
        </w:tc>
        <w:tc>
          <w:tcPr>
            <w:tcW w:w="1618"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7 (11.67)</w:t>
            </w:r>
          </w:p>
        </w:tc>
        <w:tc>
          <w:tcPr>
            <w:tcW w:w="1406"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3 (11.11)</w:t>
            </w:r>
          </w:p>
        </w:tc>
        <w:tc>
          <w:tcPr>
            <w:tcW w:w="1151"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0.006</w:t>
            </w:r>
            <w:r w:rsidRPr="008D6895">
              <w:rPr>
                <w:rFonts w:ascii="Times New Roman" w:hAnsi="Times New Roman" w:cs="Times New Roman"/>
                <w:sz w:val="24"/>
                <w:szCs w:val="24"/>
                <w:vertAlign w:val="superscript"/>
                <w:lang w:val="en-US"/>
              </w:rPr>
              <w:t>*</w:t>
            </w:r>
          </w:p>
        </w:tc>
        <w:tc>
          <w:tcPr>
            <w:tcW w:w="753"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8D6895">
              <w:rPr>
                <w:rFonts w:ascii="Times New Roman" w:hAnsi="Times New Roman" w:cs="Times New Roman"/>
                <w:sz w:val="24"/>
                <w:szCs w:val="24"/>
                <w:lang w:val="en-US"/>
              </w:rPr>
              <w:t>.94</w:t>
            </w:r>
          </w:p>
        </w:tc>
      </w:tr>
      <w:tr w:rsidR="00372838" w:rsidRPr="008D6895" w:rsidTr="002C361A">
        <w:trPr>
          <w:trHeight w:val="544"/>
        </w:trPr>
        <w:tc>
          <w:tcPr>
            <w:tcW w:w="4219" w:type="dxa"/>
            <w:tcBorders>
              <w:top w:val="nil"/>
              <w:left w:val="nil"/>
              <w:bottom w:val="nil"/>
              <w:right w:val="nil"/>
            </w:tcBorders>
          </w:tcPr>
          <w:p w:rsidR="00372838" w:rsidRPr="008D6895" w:rsidRDefault="00372838" w:rsidP="002C361A">
            <w:pPr>
              <w:tabs>
                <w:tab w:val="left" w:pos="360"/>
              </w:tabs>
              <w:rPr>
                <w:rFonts w:ascii="Times New Roman" w:hAnsi="Times New Roman" w:cs="Times New Roman"/>
                <w:sz w:val="24"/>
                <w:szCs w:val="24"/>
                <w:lang w:val="en-US"/>
              </w:rPr>
            </w:pPr>
            <w:r w:rsidRPr="008D6895">
              <w:rPr>
                <w:rFonts w:ascii="Times New Roman" w:hAnsi="Times New Roman" w:cs="Times New Roman"/>
                <w:sz w:val="24"/>
                <w:szCs w:val="24"/>
                <w:lang w:val="en-US"/>
              </w:rPr>
              <w:t>Cardiac events, no. (%)***</w:t>
            </w:r>
          </w:p>
        </w:tc>
        <w:tc>
          <w:tcPr>
            <w:tcW w:w="1618"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1 (1.67)</w:t>
            </w:r>
          </w:p>
        </w:tc>
        <w:tc>
          <w:tcPr>
            <w:tcW w:w="1406"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5 (18.50)</w:t>
            </w:r>
          </w:p>
        </w:tc>
        <w:tc>
          <w:tcPr>
            <w:tcW w:w="1151"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8.24</w:t>
            </w:r>
            <w:r w:rsidRPr="008D6895">
              <w:rPr>
                <w:rFonts w:ascii="Times New Roman" w:hAnsi="Times New Roman" w:cs="Times New Roman"/>
                <w:sz w:val="24"/>
                <w:szCs w:val="24"/>
                <w:vertAlign w:val="superscript"/>
                <w:lang w:val="en-US"/>
              </w:rPr>
              <w:t>*</w:t>
            </w:r>
          </w:p>
        </w:tc>
        <w:tc>
          <w:tcPr>
            <w:tcW w:w="753" w:type="dxa"/>
            <w:tcBorders>
              <w:top w:val="nil"/>
              <w:left w:val="nil"/>
              <w:bottom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8D6895">
              <w:rPr>
                <w:rFonts w:ascii="Times New Roman" w:hAnsi="Times New Roman" w:cs="Times New Roman"/>
                <w:sz w:val="24"/>
                <w:szCs w:val="24"/>
                <w:lang w:val="en-US"/>
              </w:rPr>
              <w:t>.004</w:t>
            </w:r>
          </w:p>
        </w:tc>
      </w:tr>
      <w:tr w:rsidR="00372838" w:rsidRPr="008D6895" w:rsidTr="002C361A">
        <w:trPr>
          <w:trHeight w:val="544"/>
        </w:trPr>
        <w:tc>
          <w:tcPr>
            <w:tcW w:w="4219" w:type="dxa"/>
            <w:tcBorders>
              <w:top w:val="nil"/>
              <w:left w:val="nil"/>
              <w:right w:val="nil"/>
            </w:tcBorders>
          </w:tcPr>
          <w:p w:rsidR="00372838" w:rsidRPr="008D6895" w:rsidRDefault="00372838" w:rsidP="002C361A">
            <w:pPr>
              <w:tabs>
                <w:tab w:val="left" w:pos="360"/>
              </w:tabs>
              <w:rPr>
                <w:rFonts w:ascii="Times New Roman" w:hAnsi="Times New Roman" w:cs="Times New Roman"/>
                <w:sz w:val="24"/>
                <w:szCs w:val="24"/>
                <w:lang w:val="en-US"/>
              </w:rPr>
            </w:pPr>
            <w:r w:rsidRPr="008D6895">
              <w:rPr>
                <w:rFonts w:ascii="Times New Roman" w:hAnsi="Times New Roman" w:cs="Times New Roman"/>
                <w:sz w:val="24"/>
                <w:szCs w:val="24"/>
                <w:lang w:val="en-US"/>
              </w:rPr>
              <w:t>Severe systemic disease, no. (%)</w:t>
            </w:r>
            <w:r w:rsidRPr="008D6895">
              <w:rPr>
                <w:rFonts w:ascii="Times New Roman" w:hAnsi="Times New Roman" w:cs="Times New Roman"/>
                <w:sz w:val="24"/>
                <w:szCs w:val="24"/>
                <w:vertAlign w:val="superscript"/>
                <w:lang w:val="en-US"/>
              </w:rPr>
              <w:t>†</w:t>
            </w:r>
          </w:p>
        </w:tc>
        <w:tc>
          <w:tcPr>
            <w:tcW w:w="1618" w:type="dxa"/>
            <w:tcBorders>
              <w:top w:val="nil"/>
              <w:left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2 (3.33)</w:t>
            </w:r>
          </w:p>
        </w:tc>
        <w:tc>
          <w:tcPr>
            <w:tcW w:w="1406" w:type="dxa"/>
            <w:tcBorders>
              <w:top w:val="nil"/>
              <w:left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0 (0.00)</w:t>
            </w:r>
          </w:p>
        </w:tc>
        <w:tc>
          <w:tcPr>
            <w:tcW w:w="1151" w:type="dxa"/>
            <w:tcBorders>
              <w:top w:val="nil"/>
              <w:left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sidRPr="008D6895">
              <w:rPr>
                <w:rFonts w:ascii="Times New Roman" w:hAnsi="Times New Roman" w:cs="Times New Roman"/>
                <w:sz w:val="24"/>
                <w:szCs w:val="24"/>
                <w:lang w:val="en-US"/>
              </w:rPr>
              <w:t>0.92</w:t>
            </w:r>
            <w:r w:rsidRPr="008D6895">
              <w:rPr>
                <w:rFonts w:ascii="Times New Roman" w:hAnsi="Times New Roman" w:cs="Times New Roman"/>
                <w:sz w:val="24"/>
                <w:szCs w:val="24"/>
                <w:vertAlign w:val="superscript"/>
                <w:lang w:val="en-US"/>
              </w:rPr>
              <w:t>*</w:t>
            </w:r>
          </w:p>
        </w:tc>
        <w:tc>
          <w:tcPr>
            <w:tcW w:w="753" w:type="dxa"/>
            <w:tcBorders>
              <w:top w:val="nil"/>
              <w:left w:val="nil"/>
              <w:right w:val="nil"/>
            </w:tcBorders>
          </w:tcPr>
          <w:p w:rsidR="00372838" w:rsidRPr="008D6895" w:rsidRDefault="00372838" w:rsidP="002C361A">
            <w:pPr>
              <w:tabs>
                <w:tab w:val="left" w:pos="360"/>
              </w:tabs>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8D6895">
              <w:rPr>
                <w:rFonts w:ascii="Times New Roman" w:hAnsi="Times New Roman" w:cs="Times New Roman"/>
                <w:sz w:val="24"/>
                <w:szCs w:val="24"/>
                <w:lang w:val="en-US"/>
              </w:rPr>
              <w:t>.34</w:t>
            </w:r>
          </w:p>
        </w:tc>
      </w:tr>
    </w:tbl>
    <w:p w:rsidR="00372838" w:rsidRPr="008D6895" w:rsidRDefault="00372838" w:rsidP="00372838">
      <w:pPr>
        <w:tabs>
          <w:tab w:val="left" w:pos="360"/>
        </w:tabs>
        <w:spacing w:after="0" w:line="240" w:lineRule="auto"/>
        <w:rPr>
          <w:rFonts w:ascii="Times New Roman" w:hAnsi="Times New Roman" w:cs="Times New Roman"/>
          <w:sz w:val="24"/>
          <w:szCs w:val="24"/>
          <w:lang w:val="en-US"/>
        </w:rPr>
      </w:pPr>
      <w:proofErr w:type="gramStart"/>
      <w:r w:rsidRPr="008D6895">
        <w:rPr>
          <w:rFonts w:ascii="Times New Roman" w:hAnsi="Times New Roman" w:cs="Times New Roman"/>
          <w:sz w:val="24"/>
          <w:szCs w:val="24"/>
          <w:lang w:val="en-US"/>
        </w:rPr>
        <w:t>GDS</w:t>
      </w:r>
      <w:r>
        <w:rPr>
          <w:rFonts w:ascii="Times New Roman" w:hAnsi="Times New Roman" w:cs="Times New Roman"/>
          <w:sz w:val="24"/>
          <w:szCs w:val="24"/>
          <w:lang w:val="en-US"/>
        </w:rPr>
        <w:t xml:space="preserve">, </w:t>
      </w:r>
      <w:r w:rsidRPr="008D6895">
        <w:rPr>
          <w:rFonts w:ascii="Times New Roman" w:hAnsi="Times New Roman" w:cs="Times New Roman"/>
          <w:sz w:val="24"/>
          <w:szCs w:val="24"/>
          <w:lang w:val="en-US"/>
        </w:rPr>
        <w:t>Geriatric Depression Scale</w:t>
      </w:r>
      <w:r>
        <w:rPr>
          <w:rFonts w:ascii="Times New Roman" w:hAnsi="Times New Roman" w:cs="Times New Roman"/>
          <w:sz w:val="24"/>
          <w:szCs w:val="24"/>
          <w:lang w:val="en-US"/>
        </w:rPr>
        <w:t>;</w:t>
      </w:r>
      <w:r w:rsidRPr="008D6895">
        <w:rPr>
          <w:rFonts w:ascii="Times New Roman" w:hAnsi="Times New Roman" w:cs="Times New Roman"/>
          <w:sz w:val="24"/>
          <w:szCs w:val="24"/>
          <w:lang w:val="en-US"/>
        </w:rPr>
        <w:t xml:space="preserve"> BMI</w:t>
      </w:r>
      <w:r>
        <w:rPr>
          <w:rFonts w:ascii="Times New Roman" w:hAnsi="Times New Roman" w:cs="Times New Roman"/>
          <w:sz w:val="24"/>
          <w:szCs w:val="24"/>
          <w:lang w:val="en-US"/>
        </w:rPr>
        <w:t xml:space="preserve">, </w:t>
      </w:r>
      <w:r w:rsidRPr="008D6895">
        <w:rPr>
          <w:rFonts w:ascii="Times New Roman" w:hAnsi="Times New Roman" w:cs="Times New Roman"/>
          <w:sz w:val="24"/>
          <w:szCs w:val="24"/>
          <w:lang w:val="en-US"/>
        </w:rPr>
        <w:t>body mass index.</w:t>
      </w:r>
      <w:proofErr w:type="gramEnd"/>
    </w:p>
    <w:p w:rsidR="00372838" w:rsidRPr="008D6895" w:rsidRDefault="00372838" w:rsidP="00372838">
      <w:pPr>
        <w:tabs>
          <w:tab w:val="left" w:pos="360"/>
        </w:tabs>
        <w:spacing w:after="0" w:line="240" w:lineRule="auto"/>
        <w:rPr>
          <w:rFonts w:ascii="Times New Roman" w:hAnsi="Times New Roman" w:cs="Times New Roman"/>
          <w:sz w:val="24"/>
          <w:szCs w:val="24"/>
          <w:lang w:val="en-US"/>
        </w:rPr>
      </w:pPr>
      <w:r w:rsidRPr="008D6895">
        <w:rPr>
          <w:rFonts w:ascii="Times New Roman" w:hAnsi="Times New Roman" w:cs="Times New Roman"/>
          <w:sz w:val="24"/>
          <w:szCs w:val="24"/>
          <w:vertAlign w:val="superscript"/>
          <w:lang w:val="en-US"/>
        </w:rPr>
        <w:t>*</w:t>
      </w:r>
      <w:r w:rsidRPr="008D6895">
        <w:rPr>
          <w:rFonts w:ascii="Times New Roman" w:hAnsi="Times New Roman" w:cs="Times New Roman"/>
          <w:sz w:val="24"/>
          <w:szCs w:val="24"/>
          <w:lang w:val="en-US"/>
        </w:rPr>
        <w:t>Fisher’s exact test.</w:t>
      </w:r>
    </w:p>
    <w:p w:rsidR="00372838" w:rsidRPr="008D6895" w:rsidRDefault="00372838" w:rsidP="00372838">
      <w:pPr>
        <w:tabs>
          <w:tab w:val="left" w:pos="360"/>
        </w:tabs>
        <w:spacing w:after="0" w:line="240" w:lineRule="auto"/>
        <w:rPr>
          <w:rFonts w:ascii="Times New Roman" w:hAnsi="Times New Roman" w:cs="Times New Roman"/>
          <w:sz w:val="24"/>
          <w:szCs w:val="24"/>
          <w:lang w:val="en-US"/>
        </w:rPr>
      </w:pPr>
      <w:r w:rsidRPr="008D6895">
        <w:rPr>
          <w:rFonts w:ascii="Times New Roman" w:hAnsi="Times New Roman" w:cs="Times New Roman"/>
          <w:sz w:val="24"/>
          <w:szCs w:val="24"/>
          <w:lang w:val="en-US"/>
        </w:rPr>
        <w:t>**Information on BMI was missing for 10 NC-NC participants and 17 NC-MCI participants and on GDS for 11 NC-NC and 13 NC-MCI participants.</w:t>
      </w:r>
    </w:p>
    <w:p w:rsidR="00372838" w:rsidRPr="008D6895" w:rsidRDefault="00372838" w:rsidP="00372838">
      <w:pPr>
        <w:tabs>
          <w:tab w:val="left" w:pos="360"/>
        </w:tabs>
        <w:spacing w:after="0" w:line="240" w:lineRule="auto"/>
        <w:rPr>
          <w:rFonts w:ascii="Times New Roman" w:hAnsi="Times New Roman" w:cs="Times New Roman"/>
          <w:sz w:val="24"/>
          <w:szCs w:val="24"/>
          <w:lang w:val="en-US"/>
        </w:rPr>
      </w:pPr>
      <w:proofErr w:type="gramStart"/>
      <w:r w:rsidRPr="008D6895">
        <w:rPr>
          <w:rFonts w:ascii="Times New Roman" w:hAnsi="Times New Roman" w:cs="Times New Roman"/>
          <w:sz w:val="24"/>
          <w:szCs w:val="24"/>
          <w:lang w:val="en-US"/>
        </w:rPr>
        <w:t>***cardiac events</w:t>
      </w:r>
      <w:r>
        <w:rPr>
          <w:rFonts w:ascii="Times New Roman" w:hAnsi="Times New Roman" w:cs="Times New Roman"/>
          <w:sz w:val="24"/>
          <w:szCs w:val="24"/>
          <w:lang w:val="en-US"/>
        </w:rPr>
        <w:t xml:space="preserve">: </w:t>
      </w:r>
      <w:r w:rsidRPr="008D6895">
        <w:rPr>
          <w:rFonts w:ascii="Times New Roman" w:hAnsi="Times New Roman" w:cs="Times New Roman"/>
          <w:sz w:val="24"/>
          <w:szCs w:val="24"/>
          <w:lang w:val="en-US"/>
        </w:rPr>
        <w:t xml:space="preserve">arteriosclerosis, arrhythmia, bypass surgery, arterial hypertension, </w:t>
      </w:r>
      <w:proofErr w:type="spellStart"/>
      <w:r w:rsidRPr="008D6895">
        <w:rPr>
          <w:rFonts w:ascii="Times New Roman" w:hAnsi="Times New Roman" w:cs="Times New Roman"/>
          <w:sz w:val="24"/>
          <w:szCs w:val="24"/>
          <w:lang w:val="en-US"/>
        </w:rPr>
        <w:t>atrial</w:t>
      </w:r>
      <w:proofErr w:type="spellEnd"/>
      <w:r w:rsidRPr="008D6895">
        <w:rPr>
          <w:rFonts w:ascii="Times New Roman" w:hAnsi="Times New Roman" w:cs="Times New Roman"/>
          <w:sz w:val="24"/>
          <w:szCs w:val="24"/>
          <w:lang w:val="en-US"/>
        </w:rPr>
        <w:t xml:space="preserve"> fibrillation.</w:t>
      </w:r>
      <w:proofErr w:type="gramEnd"/>
    </w:p>
    <w:p w:rsidR="00372838" w:rsidRPr="008D6895" w:rsidRDefault="00372838" w:rsidP="00372838">
      <w:pPr>
        <w:tabs>
          <w:tab w:val="left" w:pos="360"/>
        </w:tabs>
        <w:spacing w:after="0" w:line="240" w:lineRule="auto"/>
        <w:rPr>
          <w:rFonts w:ascii="Times New Roman" w:hAnsi="Times New Roman" w:cs="Times New Roman"/>
          <w:sz w:val="24"/>
          <w:szCs w:val="24"/>
          <w:lang w:val="en-US"/>
        </w:rPr>
      </w:pPr>
      <w:proofErr w:type="gramStart"/>
      <w:r w:rsidRPr="008D6895">
        <w:rPr>
          <w:rFonts w:ascii="Times New Roman" w:hAnsi="Times New Roman" w:cs="Times New Roman"/>
          <w:sz w:val="24"/>
          <w:szCs w:val="24"/>
          <w:vertAlign w:val="superscript"/>
          <w:lang w:val="en-US"/>
        </w:rPr>
        <w:t>†</w:t>
      </w:r>
      <w:r w:rsidRPr="008D6895">
        <w:rPr>
          <w:rFonts w:ascii="Times New Roman" w:hAnsi="Times New Roman" w:cs="Times New Roman"/>
          <w:sz w:val="24"/>
          <w:szCs w:val="24"/>
          <w:lang w:val="en-US"/>
        </w:rPr>
        <w:t>severe systemic disease</w:t>
      </w:r>
      <w:r>
        <w:rPr>
          <w:rFonts w:ascii="Times New Roman" w:hAnsi="Times New Roman" w:cs="Times New Roman"/>
          <w:sz w:val="24"/>
          <w:szCs w:val="24"/>
          <w:lang w:val="en-US"/>
        </w:rPr>
        <w:t xml:space="preserve">: </w:t>
      </w:r>
      <w:bookmarkStart w:id="0" w:name="_GoBack"/>
      <w:bookmarkEnd w:id="0"/>
      <w:r w:rsidRPr="008D6895">
        <w:rPr>
          <w:rFonts w:ascii="Times New Roman" w:hAnsi="Times New Roman" w:cs="Times New Roman"/>
          <w:sz w:val="24"/>
          <w:szCs w:val="24"/>
          <w:lang w:val="en-US"/>
        </w:rPr>
        <w:t>severe pancreas dysfunction; lung emphysema.</w:t>
      </w:r>
      <w:proofErr w:type="gramEnd"/>
    </w:p>
    <w:p w:rsidR="00372838" w:rsidRPr="008D6895" w:rsidRDefault="00372838" w:rsidP="00372838">
      <w:pPr>
        <w:tabs>
          <w:tab w:val="left" w:pos="360"/>
        </w:tabs>
        <w:spacing w:after="0" w:line="480" w:lineRule="auto"/>
        <w:rPr>
          <w:rFonts w:ascii="Times New Roman" w:hAnsi="Times New Roman" w:cs="Times New Roman"/>
          <w:sz w:val="24"/>
          <w:szCs w:val="24"/>
          <w:lang w:val="en-US"/>
        </w:rPr>
      </w:pPr>
      <w:r w:rsidRPr="008D6895">
        <w:rPr>
          <w:rFonts w:ascii="Times New Roman" w:hAnsi="Times New Roman" w:cs="Times New Roman"/>
          <w:sz w:val="24"/>
          <w:szCs w:val="24"/>
          <w:lang w:val="en-US"/>
        </w:rPr>
        <w:br w:type="page"/>
      </w:r>
    </w:p>
    <w:p w:rsidR="00372838" w:rsidRPr="008D6895" w:rsidRDefault="00372838" w:rsidP="00372838">
      <w:pPr>
        <w:tabs>
          <w:tab w:val="left" w:pos="360"/>
        </w:tabs>
        <w:spacing w:after="0" w:line="480" w:lineRule="auto"/>
        <w:rPr>
          <w:rFonts w:ascii="Times New Roman" w:hAnsi="Times New Roman" w:cs="Times New Roman"/>
          <w:b/>
          <w:sz w:val="24"/>
          <w:szCs w:val="24"/>
          <w:lang w:val="en-US"/>
        </w:rPr>
      </w:pPr>
      <w:r w:rsidRPr="008D6895">
        <w:rPr>
          <w:rFonts w:ascii="Times New Roman" w:hAnsi="Times New Roman" w:cs="Times New Roman"/>
          <w:noProof/>
          <w:sz w:val="24"/>
          <w:szCs w:val="24"/>
          <w:lang w:val="en-US"/>
        </w:rPr>
        <w:lastRenderedPageBreak/>
        <w:drawing>
          <wp:inline distT="0" distB="0" distL="0" distR="0">
            <wp:extent cx="4155780" cy="7920000"/>
            <wp:effectExtent l="0" t="0" r="0" b="508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4155780" cy="7920000"/>
                    </a:xfrm>
                    <a:prstGeom prst="rect">
                      <a:avLst/>
                    </a:prstGeom>
                  </pic:spPr>
                </pic:pic>
              </a:graphicData>
            </a:graphic>
          </wp:inline>
        </w:drawing>
      </w:r>
    </w:p>
    <w:p w:rsidR="00372838" w:rsidRPr="008D6895" w:rsidRDefault="00372838" w:rsidP="00372838">
      <w:pPr>
        <w:shd w:val="clear" w:color="auto" w:fill="FFFFFF"/>
        <w:tabs>
          <w:tab w:val="left" w:pos="360"/>
        </w:tabs>
        <w:spacing w:after="0" w:line="480" w:lineRule="auto"/>
        <w:rPr>
          <w:rFonts w:ascii="Times New Roman" w:hAnsi="Times New Roman" w:cs="Times New Roman"/>
          <w:sz w:val="24"/>
          <w:szCs w:val="24"/>
          <w:lang w:val="en-US"/>
        </w:rPr>
      </w:pPr>
      <w:proofErr w:type="gramStart"/>
      <w:r w:rsidRPr="008D6895">
        <w:rPr>
          <w:rFonts w:ascii="Times New Roman" w:hAnsi="Times New Roman" w:cs="Times New Roman"/>
          <w:sz w:val="24"/>
          <w:szCs w:val="24"/>
          <w:lang w:val="en-US"/>
        </w:rPr>
        <w:lastRenderedPageBreak/>
        <w:t>Supplementary Figure 1.</w:t>
      </w:r>
      <w:proofErr w:type="gramEnd"/>
      <w:r w:rsidRPr="008D6895">
        <w:rPr>
          <w:rFonts w:ascii="Times New Roman" w:hAnsi="Times New Roman" w:cs="Times New Roman"/>
          <w:sz w:val="24"/>
          <w:szCs w:val="24"/>
          <w:lang w:val="en-US"/>
        </w:rPr>
        <w:t xml:space="preserve"> Distribution of the neuropsychological performance and cubic </w:t>
      </w:r>
      <w:proofErr w:type="spellStart"/>
      <w:r w:rsidRPr="008D6895">
        <w:rPr>
          <w:rFonts w:ascii="Times New Roman" w:hAnsi="Times New Roman" w:cs="Times New Roman"/>
          <w:sz w:val="24"/>
          <w:szCs w:val="24"/>
          <w:lang w:val="en-US"/>
        </w:rPr>
        <w:t>splines</w:t>
      </w:r>
      <w:proofErr w:type="spellEnd"/>
      <w:r w:rsidRPr="008D6895">
        <w:rPr>
          <w:rFonts w:ascii="Times New Roman" w:hAnsi="Times New Roman" w:cs="Times New Roman"/>
          <w:sz w:val="24"/>
          <w:szCs w:val="24"/>
          <w:lang w:val="en-US"/>
        </w:rPr>
        <w:t xml:space="preserve"> estimated from linear mixed effects models of the longitudinal courses of NC-NC and NC-MCI’s verbal and visual episodic and semantic memory functioning during the 12 years preceding the diagnosis of MCI due to AD. Cubic </w:t>
      </w:r>
      <w:proofErr w:type="spellStart"/>
      <w:r w:rsidRPr="008D6895">
        <w:rPr>
          <w:rFonts w:ascii="Times New Roman" w:hAnsi="Times New Roman" w:cs="Times New Roman"/>
          <w:sz w:val="24"/>
          <w:szCs w:val="24"/>
          <w:lang w:val="en-US"/>
        </w:rPr>
        <w:t>splines</w:t>
      </w:r>
      <w:proofErr w:type="spellEnd"/>
      <w:r w:rsidRPr="008D6895">
        <w:rPr>
          <w:rFonts w:ascii="Times New Roman" w:hAnsi="Times New Roman" w:cs="Times New Roman"/>
          <w:sz w:val="24"/>
          <w:szCs w:val="24"/>
          <w:lang w:val="en-US"/>
        </w:rPr>
        <w:t xml:space="preserve"> were computed on a grid of times (to achieve smooth curves).</w:t>
      </w:r>
    </w:p>
    <w:p w:rsidR="00372838" w:rsidRPr="008D6895" w:rsidRDefault="00372838" w:rsidP="00372838">
      <w:pPr>
        <w:shd w:val="clear" w:color="auto" w:fill="FFFFFF"/>
        <w:tabs>
          <w:tab w:val="left" w:pos="360"/>
        </w:tabs>
        <w:spacing w:after="0" w:line="480" w:lineRule="auto"/>
        <w:rPr>
          <w:rFonts w:ascii="Times New Roman" w:hAnsi="Times New Roman" w:cs="Times New Roman"/>
          <w:sz w:val="24"/>
          <w:szCs w:val="24"/>
          <w:lang w:val="en-US"/>
        </w:rPr>
      </w:pPr>
    </w:p>
    <w:p w:rsidR="00372838" w:rsidRPr="008D6895" w:rsidRDefault="00372838" w:rsidP="00372838">
      <w:pPr>
        <w:tabs>
          <w:tab w:val="left" w:pos="360"/>
        </w:tabs>
        <w:spacing w:after="0" w:line="480" w:lineRule="auto"/>
        <w:rPr>
          <w:rFonts w:ascii="Times New Roman" w:hAnsi="Times New Roman" w:cs="Times New Roman"/>
          <w:b/>
          <w:sz w:val="24"/>
          <w:szCs w:val="24"/>
          <w:lang w:val="en-US"/>
        </w:rPr>
      </w:pPr>
    </w:p>
    <w:p w:rsidR="00372838" w:rsidRPr="008D6895" w:rsidRDefault="00372838" w:rsidP="00372838">
      <w:pPr>
        <w:tabs>
          <w:tab w:val="left" w:pos="360"/>
        </w:tabs>
        <w:spacing w:after="0" w:line="480" w:lineRule="auto"/>
        <w:rPr>
          <w:rFonts w:ascii="Times New Roman" w:hAnsi="Times New Roman" w:cs="Times New Roman"/>
          <w:sz w:val="24"/>
          <w:szCs w:val="24"/>
          <w:lang w:val="en-US"/>
        </w:rPr>
      </w:pPr>
      <w:r w:rsidRPr="008D6895">
        <w:rPr>
          <w:rFonts w:ascii="Times New Roman" w:hAnsi="Times New Roman" w:cs="Times New Roman"/>
          <w:noProof/>
          <w:sz w:val="24"/>
          <w:szCs w:val="24"/>
          <w:lang w:val="en-US"/>
        </w:rPr>
        <w:lastRenderedPageBreak/>
        <w:drawing>
          <wp:inline distT="0" distB="0" distL="0" distR="0">
            <wp:extent cx="4317887" cy="7920000"/>
            <wp:effectExtent l="0" t="0" r="6985" b="5080"/>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317887" cy="7920000"/>
                    </a:xfrm>
                    <a:prstGeom prst="rect">
                      <a:avLst/>
                    </a:prstGeom>
                  </pic:spPr>
                </pic:pic>
              </a:graphicData>
            </a:graphic>
          </wp:inline>
        </w:drawing>
      </w:r>
    </w:p>
    <w:p w:rsidR="00372838" w:rsidRPr="008D6895" w:rsidRDefault="00372838" w:rsidP="00372838">
      <w:pPr>
        <w:shd w:val="clear" w:color="auto" w:fill="FFFFFF"/>
        <w:tabs>
          <w:tab w:val="left" w:pos="360"/>
        </w:tabs>
        <w:spacing w:after="0" w:line="480" w:lineRule="auto"/>
        <w:rPr>
          <w:rFonts w:ascii="Times New Roman" w:hAnsi="Times New Roman" w:cs="Times New Roman"/>
          <w:sz w:val="24"/>
          <w:szCs w:val="24"/>
          <w:lang w:val="en-US"/>
        </w:rPr>
      </w:pPr>
      <w:proofErr w:type="gramStart"/>
      <w:r w:rsidRPr="008D6895">
        <w:rPr>
          <w:rFonts w:ascii="Times New Roman" w:hAnsi="Times New Roman" w:cs="Times New Roman"/>
          <w:color w:val="000000"/>
          <w:sz w:val="24"/>
          <w:szCs w:val="24"/>
          <w:lang w:val="en-US"/>
        </w:rPr>
        <w:lastRenderedPageBreak/>
        <w:t>Supplementary Figure 2.</w:t>
      </w:r>
      <w:proofErr w:type="gramEnd"/>
      <w:r w:rsidRPr="008D6895">
        <w:rPr>
          <w:rFonts w:ascii="Times New Roman" w:hAnsi="Times New Roman" w:cs="Times New Roman"/>
          <w:color w:val="000000"/>
          <w:sz w:val="24"/>
          <w:szCs w:val="24"/>
          <w:lang w:val="en-US"/>
        </w:rPr>
        <w:t xml:space="preserve"> Distribution of the neuropsychological performance and c</w:t>
      </w:r>
      <w:r w:rsidRPr="008D6895">
        <w:rPr>
          <w:rFonts w:ascii="Times New Roman" w:hAnsi="Times New Roman" w:cs="Times New Roman"/>
          <w:sz w:val="24"/>
          <w:szCs w:val="24"/>
          <w:lang w:val="en-US"/>
        </w:rPr>
        <w:t xml:space="preserve">ubic </w:t>
      </w:r>
      <w:proofErr w:type="spellStart"/>
      <w:r w:rsidRPr="008D6895">
        <w:rPr>
          <w:rFonts w:ascii="Times New Roman" w:hAnsi="Times New Roman" w:cs="Times New Roman"/>
          <w:sz w:val="24"/>
          <w:szCs w:val="24"/>
          <w:lang w:val="en-US"/>
        </w:rPr>
        <w:t>splines</w:t>
      </w:r>
      <w:proofErr w:type="spellEnd"/>
      <w:r w:rsidRPr="008D6895">
        <w:rPr>
          <w:rFonts w:ascii="Times New Roman" w:hAnsi="Times New Roman" w:cs="Times New Roman"/>
          <w:sz w:val="24"/>
          <w:szCs w:val="24"/>
          <w:lang w:val="en-US"/>
        </w:rPr>
        <w:t xml:space="preserve"> estimated from linear mixed effects models of the longitudinal courses of NC-NC and NC-MCI’s neuropsychological functioning and informant-based report of cognitive functioning during the 12 years preceding the diagnosis of MCI due to AD. Cubic </w:t>
      </w:r>
      <w:proofErr w:type="spellStart"/>
      <w:r w:rsidRPr="008D6895">
        <w:rPr>
          <w:rFonts w:ascii="Times New Roman" w:hAnsi="Times New Roman" w:cs="Times New Roman"/>
          <w:sz w:val="24"/>
          <w:szCs w:val="24"/>
          <w:lang w:val="en-US"/>
        </w:rPr>
        <w:t>splines</w:t>
      </w:r>
      <w:proofErr w:type="spellEnd"/>
      <w:r w:rsidRPr="008D6895">
        <w:rPr>
          <w:rFonts w:ascii="Times New Roman" w:hAnsi="Times New Roman" w:cs="Times New Roman"/>
          <w:sz w:val="24"/>
          <w:szCs w:val="24"/>
          <w:lang w:val="en-US"/>
        </w:rPr>
        <w:t xml:space="preserve"> were computed on a grid of times (to achieve smooth curves).</w:t>
      </w:r>
    </w:p>
    <w:p w:rsidR="008512FD" w:rsidRDefault="008512FD"/>
    <w:sectPr w:rsidR="008512FD" w:rsidSect="008D6895">
      <w:pgSz w:w="12240" w:h="15840"/>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72838"/>
    <w:rsid w:val="000E02AA"/>
    <w:rsid w:val="00372838"/>
    <w:rsid w:val="00456175"/>
    <w:rsid w:val="008512FD"/>
    <w:rsid w:val="009A2DE7"/>
    <w:rsid w:val="00AF0349"/>
    <w:rsid w:val="00CF170F"/>
    <w:rsid w:val="00D24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38"/>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838"/>
    <w:pPr>
      <w:spacing w:after="0" w:line="240" w:lineRule="auto"/>
    </w:pPr>
    <w:rPr>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472</Words>
  <Characters>2691</Characters>
  <Application>Microsoft Office Word</Application>
  <DocSecurity>0</DocSecurity>
  <Lines>22</Lines>
  <Paragraphs>6</Paragraphs>
  <ScaleCrop>false</ScaleCrop>
  <Company>tdc</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els_dcon</dc:creator>
  <cp:keywords/>
  <dc:description/>
  <cp:lastModifiedBy>els_dcon</cp:lastModifiedBy>
  <cp:revision>1</cp:revision>
  <dcterms:created xsi:type="dcterms:W3CDTF">2015-09-16T04:53:00Z</dcterms:created>
  <dcterms:modified xsi:type="dcterms:W3CDTF">2015-09-16T04:54:00Z</dcterms:modified>
</cp:coreProperties>
</file>