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1799590" cy="1799590"/>
            <wp:effectExtent l="0" t="0" r="3175" b="3175"/>
            <wp:docPr id="4" name="图片 4" descr="配对图KIF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配对图KIF1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S1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Expression of KIF18A mRNA in CESC and paired normal tissues.</w:t>
      </w:r>
    </w:p>
    <w:p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1799590" cy="1799590"/>
            <wp:effectExtent l="0" t="0" r="3175" b="3175"/>
            <wp:docPr id="6" name="图片 6" descr="配对图CEN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配对图CENP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S2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Expression of CENPE mRNA in CESC and paired normal tissues.</w:t>
      </w:r>
    </w:p>
    <w:p>
      <w:pP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143377D2"/>
    <w:rsid w:val="7E1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716</Characters>
  <Lines>0</Lines>
  <Paragraphs>0</Paragraphs>
  <TotalTime>7</TotalTime>
  <ScaleCrop>false</ScaleCrop>
  <LinksUpToDate>false</LinksUpToDate>
  <CharactersWithSpaces>854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2023-09-02T04:14:00Z</dcterms:created>
  <dc:creator>63430</dc:creator>
  <cp:lastModifiedBy>繁星之下</cp:lastModifiedBy>
  <dcterms:modified xsi:type="dcterms:W3CDTF">2024-06-09T07:14:40Z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E11123B0D8954100926FD2598BD0AE12_12</vt:lpwstr>
  </property>
</Properties>
</file>