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 Regular" w:hAnsi="Times New Roman Regular" w:cs="Times New Roman Regular"/>
          <w:b/>
          <w:bCs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cs="Times New Roman Regular"/>
          <w:b/>
          <w:bCs/>
          <w:sz w:val="32"/>
          <w:szCs w:val="32"/>
          <w:lang w:val="en-US" w:eastAsia="zh-Hans"/>
        </w:rPr>
        <w:t>Supplemental Tables and Figures</w:t>
      </w:r>
    </w:p>
    <w:p>
      <w:pPr>
        <w:jc w:val="center"/>
        <w:rPr>
          <w:rFonts w:hint="default" w:ascii="Times New Roman Regular" w:hAnsi="Times New Roman Regular" w:cs="Times New Roman Regular"/>
          <w:b/>
          <w:bCs/>
          <w:sz w:val="32"/>
          <w:szCs w:val="32"/>
          <w:lang w:val="en-US" w:eastAsia="zh-Hans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>upplementary figure 1</w:t>
      </w:r>
      <w:r>
        <w:rPr>
          <w:rFonts w:hint="default" w:ascii="Times New Roman Regular" w:hAnsi="Times New Roman Regular" w:cs="Times New Roman Regular"/>
          <w:sz w:val="24"/>
          <w:szCs w:val="24"/>
        </w:rPr>
        <w:t>:</w:t>
      </w:r>
    </w:p>
    <w:p>
      <w:pPr>
        <w:spacing w:line="360" w:lineRule="auto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4"/>
          <w:szCs w:val="24"/>
        </w:rPr>
        <w:t>technical roadmap for the study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green </w:t>
      </w:r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box represents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data set</w:t>
      </w:r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.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yellow </w:t>
      </w:r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>box represents the construction process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of </w:t>
      </w:r>
      <w:r>
        <w:rPr>
          <w:rFonts w:hint="eastAsia" w:ascii="Times New Roman" w:hAnsi="Times New Roman" w:cs="Times New Roman"/>
          <w:sz w:val="24"/>
          <w:szCs w:val="24"/>
          <w:lang w:eastAsia="zh-Hans"/>
        </w:rPr>
        <w:t>signature</w:t>
      </w:r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.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blue </w:t>
      </w:r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box represents the </w:t>
      </w:r>
      <w:r>
        <w:rPr>
          <w:rFonts w:hint="eastAsia" w:ascii="Times New Roman" w:hAnsi="Times New Roman" w:cs="Times New Roman"/>
          <w:sz w:val="24"/>
          <w:szCs w:val="24"/>
          <w:lang w:eastAsia="zh-Hans"/>
        </w:rPr>
        <w:t>CRG-located DNA methylation signature</w:t>
      </w:r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. The red box represents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ubsequent </w:t>
      </w:r>
      <w:bookmarkStart w:id="0" w:name="OLE_LINK1"/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analysis </w:t>
      </w:r>
      <w:bookmarkEnd w:id="0"/>
      <w:r>
        <w:rPr>
          <w:rFonts w:hint="default" w:ascii="Times New Roman" w:hAnsi="Times New Roman" w:cs="Times New Roman"/>
          <w:sz w:val="24"/>
          <w:szCs w:val="24"/>
          <w:lang w:val="en-US" w:eastAsia="zh-Hans"/>
        </w:rPr>
        <w:t xml:space="preserve">of the </w:t>
      </w:r>
      <w:bookmarkStart w:id="1" w:name="OLE_LINK2"/>
      <w:r>
        <w:rPr>
          <w:rFonts w:hint="eastAsia" w:ascii="Times New Roman" w:hAnsi="Times New Roman" w:cs="Times New Roman"/>
          <w:sz w:val="24"/>
          <w:szCs w:val="24"/>
          <w:lang w:eastAsia="zh-Hans"/>
        </w:rPr>
        <w:t>signature</w:t>
      </w:r>
      <w:bookmarkEnd w:id="1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</w:p>
    <w:p>
      <w:pPr>
        <w:spacing w:line="360" w:lineRule="auto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center"/>
        <w:rPr>
          <w:rFonts w:hint="eastAsia" w:ascii="Palatino Linotype" w:hAnsi="Palatino Linotype" w:eastAsia="SimSun" w:cs="Palatino Linotype"/>
          <w:i w:val="0"/>
          <w:iCs w:val="0"/>
          <w:caps w:val="0"/>
          <w:color w:val="0000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Palatino Linotype" w:hAnsi="Palatino Linotype" w:eastAsia="SimSun" w:cs="Palatino Linotype"/>
          <w:i w:val="0"/>
          <w:iCs w:val="0"/>
          <w:caps w:val="0"/>
          <w:color w:val="0000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046980" cy="3382645"/>
            <wp:effectExtent l="0" t="0" r="7620" b="8255"/>
            <wp:docPr id="9" name="图片 9" descr="figureS1-road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S1-roadma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Palatino Linotype" w:hAnsi="Palatino Linotype" w:eastAsia="SimSun" w:cs="Palatino Linotype"/>
          <w:i w:val="0"/>
          <w:iCs w:val="0"/>
          <w:caps w:val="0"/>
          <w:color w:val="000033"/>
          <w:spacing w:val="0"/>
          <w:sz w:val="21"/>
          <w:szCs w:val="21"/>
          <w:shd w:val="clear" w:fill="FFFFFF"/>
          <w:lang w:val="en-US" w:eastAsia="zh-Hans"/>
        </w:rPr>
      </w:pPr>
    </w:p>
    <w:p>
      <w:pP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br w:type="page"/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 xml:space="preserve">upplementary figure </w:t>
      </w:r>
      <w:r>
        <w:rPr>
          <w:rFonts w:hint="eastAsia" w:ascii="Times New Roman Regular" w:hAnsi="Times New Roman Regular" w:cs="Times New Roman Regular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 Regular" w:hAnsi="Times New Roman Regular" w:cs="Times New Roman Regular"/>
          <w:sz w:val="24"/>
          <w:szCs w:val="24"/>
        </w:rPr>
        <w:t>:</w:t>
      </w:r>
    </w:p>
    <w:p>
      <w:pPr>
        <w:spacing w:line="360" w:lineRule="auto"/>
        <w:jc w:val="both"/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Correlation between the expression of HSPA8 and immune cell infiltration level in LGG.</w:t>
      </w:r>
    </w:p>
    <w:p>
      <w:pPr>
        <w:spacing w:line="360" w:lineRule="auto"/>
        <w:jc w:val="center"/>
        <w:rPr>
          <w:rFonts w:eastAsia="Times New Roman"/>
        </w:rPr>
      </w:pPr>
      <w:r>
        <w:rPr>
          <w:rFonts w:eastAsia="Times New Roman"/>
        </w:rPr>
        <w:drawing>
          <wp:inline distT="0" distB="0" distL="0" distR="0">
            <wp:extent cx="5266055" cy="3039745"/>
            <wp:effectExtent l="0" t="0" r="0" b="8255"/>
            <wp:docPr id="15" name="图片 15" descr="HSPA8_T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SPA8_TI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Regular" w:hAnsi="Times New Roman Regular" w:cs="Times New Roman Regular"/>
          <w:sz w:val="24"/>
          <w:szCs w:val="24"/>
          <w:lang w:val="en-US" w:eastAsia="zh-Hans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 xml:space="preserve">upplementary figure </w:t>
      </w:r>
      <w:r>
        <w:rPr>
          <w:rFonts w:hint="eastAsia" w:ascii="Times New Roman Regular" w:hAnsi="Times New Roman Regular" w:cs="Times New Roman Regular"/>
          <w:b/>
          <w:bCs/>
          <w:sz w:val="24"/>
          <w:szCs w:val="24"/>
          <w:lang w:val="en-US" w:eastAsia="zh-CN"/>
        </w:rPr>
        <w:t>3</w:t>
      </w:r>
      <w:r>
        <w:rPr>
          <w:rFonts w:hint="default" w:ascii="Times New Roman Regular" w:hAnsi="Times New Roman Regular" w:cs="Times New Roman Regular"/>
          <w:sz w:val="24"/>
          <w:szCs w:val="24"/>
        </w:rPr>
        <w:t>:</w:t>
      </w:r>
    </w:p>
    <w:p>
      <w:pPr>
        <w:spacing w:line="360" w:lineRule="auto"/>
        <w:jc w:val="both"/>
        <w:rPr>
          <w:rFonts w:eastAsia="Times New Roman"/>
        </w:rPr>
      </w:pPr>
      <w:r>
        <w:rPr>
          <w:rFonts w:ascii="Times New Roman" w:hAnsi="Times New Roman" w:cs="Times New Roman"/>
          <w:sz w:val="24"/>
          <w:szCs w:val="24"/>
        </w:rPr>
        <w:t>Correlation between the expression of CDKN2A and immune cell infiltration level in LGG.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eastAsia="Times New Roman"/>
        </w:rPr>
        <w:drawing>
          <wp:inline distT="0" distB="0" distL="0" distR="0">
            <wp:extent cx="5180965" cy="3065780"/>
            <wp:effectExtent l="0" t="0" r="635" b="7620"/>
            <wp:docPr id="16" name="图片 16" descr="CDKN2A_T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DKN2A_TI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Regular" w:hAnsi="Times New Roman Regular" w:cs="Times New Roman Regular"/>
          <w:sz w:val="24"/>
          <w:szCs w:val="24"/>
          <w:lang w:val="en-US" w:eastAsia="zh-Hans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 xml:space="preserve">upplementary figure </w:t>
      </w:r>
      <w:r>
        <w:rPr>
          <w:rFonts w:hint="eastAsia" w:ascii="Times New Roman Regular" w:hAnsi="Times New Roman Regular" w:cs="Times New Roman Regular"/>
          <w:b/>
          <w:bCs/>
          <w:sz w:val="24"/>
          <w:szCs w:val="24"/>
          <w:lang w:val="en-US" w:eastAsia="zh-CN"/>
        </w:rPr>
        <w:t>4</w:t>
      </w:r>
      <w:r>
        <w:rPr>
          <w:rFonts w:hint="default" w:ascii="Times New Roman Regular" w:hAnsi="Times New Roman Regular" w:cs="Times New Roman Regular"/>
          <w:sz w:val="24"/>
          <w:szCs w:val="24"/>
        </w:rPr>
        <w:t>: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Correlation between the expression of MT3 and immune cell infiltration level in LGG.</w:t>
      </w:r>
    </w:p>
    <w:p>
      <w:pPr>
        <w:shd w:val="clear" w:color="auto" w:fill="FFFFFF"/>
        <w:spacing w:before="120" w:after="0" w:line="360" w:lineRule="auto"/>
        <w:jc w:val="center"/>
        <w:rPr>
          <w:sz w:val="20"/>
          <w:szCs w:val="20"/>
        </w:rPr>
      </w:pPr>
      <w:r>
        <w:rPr>
          <w:rFonts w:eastAsia="Times New Roman"/>
        </w:rPr>
        <w:drawing>
          <wp:inline distT="0" distB="0" distL="0" distR="0">
            <wp:extent cx="5274945" cy="3107055"/>
            <wp:effectExtent l="0" t="0" r="8255" b="0"/>
            <wp:docPr id="17" name="图片 17" descr="MT3_T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T3_TI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 xml:space="preserve">upplementary figure </w:t>
      </w:r>
      <w:r>
        <w:rPr>
          <w:rFonts w:hint="eastAsia" w:ascii="Times New Roman Regular" w:hAnsi="Times New Roman Regular" w:cs="Times New Roman Regular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 Regular" w:hAnsi="Times New Roman Regular" w:cs="Times New Roman Regular"/>
          <w:sz w:val="24"/>
          <w:szCs w:val="24"/>
        </w:rPr>
        <w:t>:</w:t>
      </w:r>
    </w:p>
    <w:p>
      <w:pPr>
        <w:shd w:val="clear" w:color="auto" w:fill="FFFFFF"/>
        <w:spacing w:before="120" w:after="0" w:line="360" w:lineRule="auto"/>
        <w:jc w:val="both"/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Pathway enrichment between the high- and low-risk group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(A)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GO terms.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(B)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KEGG pathway.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(C)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Hallmark pathway.</w:t>
      </w:r>
    </w:p>
    <w:p>
      <w:pPr>
        <w:shd w:val="clear" w:color="auto" w:fill="FFFFFF"/>
        <w:spacing w:before="120" w:after="0" w:line="360" w:lineRule="auto"/>
        <w:jc w:val="both"/>
        <w:rPr>
          <w:rFonts w:eastAsia="Times New Roman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39155" cy="1692910"/>
            <wp:effectExtent l="0" t="0" r="4445" b="8890"/>
            <wp:docPr id="3" name="图片 3" descr="Fig7_GO_K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7_GO_KEG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Regular" w:hAnsi="Times New Roman Regular" w:cs="Times New Roman Regular"/>
          <w:sz w:val="24"/>
          <w:szCs w:val="24"/>
          <w:lang w:val="en-US" w:eastAsia="zh-Hans"/>
        </w:rPr>
      </w:pPr>
    </w:p>
    <w:p>
      <w:pP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br w:type="page"/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 xml:space="preserve">upplementary figure </w:t>
      </w:r>
      <w:r>
        <w:rPr>
          <w:rFonts w:hint="eastAsia" w:ascii="Times New Roman Regular" w:hAnsi="Times New Roman Regular" w:cs="Times New Roman Regular"/>
          <w:b/>
          <w:bCs/>
          <w:sz w:val="24"/>
          <w:szCs w:val="24"/>
          <w:lang w:val="en-US" w:eastAsia="zh-CN"/>
        </w:rPr>
        <w:t>6</w:t>
      </w:r>
      <w:r>
        <w:rPr>
          <w:rFonts w:hint="default" w:ascii="Times New Roman Regular" w:hAnsi="Times New Roman Regular" w:cs="Times New Roman Regular"/>
          <w:sz w:val="24"/>
          <w:szCs w:val="24"/>
        </w:rPr>
        <w:t>:</w:t>
      </w:r>
    </w:p>
    <w:p>
      <w:pPr>
        <w:shd w:val="clear" w:color="auto" w:fill="FFFFFF"/>
        <w:spacing w:before="120" w:after="0" w:line="360" w:lineRule="auto"/>
        <w:jc w:val="both"/>
        <w:rPr>
          <w:rFonts w:hint="default" w:ascii="Times New Roman" w:hAnsi="Times New Roman" w:cs="Times New Roman"/>
          <w:b w:val="0"/>
          <w:bCs/>
          <w:i w:val="0"/>
          <w:i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4"/>
          <w:szCs w:val="24"/>
        </w:rPr>
        <w:t>(A-C) Correlation between the expression of the genes and their methylation levels was evaluated for each gene through the Spearman correlation test. Reported P values are two sided. (D-F) The expression of genes in LGG tumor tissues and the normal tissues.</w:t>
      </w:r>
      <w:r>
        <w:rPr>
          <w:rFonts w:hint="default" w:ascii="Times New Roman" w:hAnsi="Times New Roman" w:eastAsia="SimSun" w:cs="Times New Roman"/>
          <w:b w:val="0"/>
          <w:bCs/>
          <w:i w:val="0"/>
          <w:iCs w:val="0"/>
          <w:sz w:val="20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iCs w:val="0"/>
          <w:sz w:val="24"/>
          <w:szCs w:val="24"/>
        </w:rPr>
        <w:t>****P &lt; 0.0001, **P &lt; 0.01.</w:t>
      </w:r>
    </w:p>
    <w:p>
      <w:pPr>
        <w:shd w:val="clear" w:color="auto" w:fill="FFFFFF"/>
        <w:spacing w:before="120" w:after="0" w:line="360" w:lineRule="auto"/>
        <w:jc w:val="center"/>
        <w:rPr>
          <w:rFonts w:eastAsia="Times New Roman"/>
        </w:rPr>
      </w:pPr>
      <w:r>
        <w:rPr>
          <w:rFonts w:eastAsia="Times New Roman"/>
        </w:rPr>
        <w:drawing>
          <wp:inline distT="0" distB="0" distL="0" distR="0">
            <wp:extent cx="5083175" cy="3768090"/>
            <wp:effectExtent l="0" t="0" r="22225" b="16510"/>
            <wp:docPr id="14" name="图片 14" descr="FigS_Gene_D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S_Gene_DN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br w:type="page"/>
      </w: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 xml:space="preserve">upplementary figure </w:t>
      </w:r>
      <w:r>
        <w:rPr>
          <w:rFonts w:hint="eastAsia" w:ascii="Times New Roman Regular" w:hAnsi="Times New Roman Regular" w:cs="Times New Roman Regular"/>
          <w:b/>
          <w:bCs/>
          <w:sz w:val="24"/>
          <w:szCs w:val="24"/>
          <w:lang w:val="en-US" w:eastAsia="zh-CN"/>
        </w:rPr>
        <w:t>7</w:t>
      </w:r>
      <w:r>
        <w:rPr>
          <w:rFonts w:hint="default" w:ascii="Times New Roman Regular" w:hAnsi="Times New Roman Regular" w:cs="Times New Roman Regular"/>
          <w:sz w:val="24"/>
          <w:szCs w:val="24"/>
        </w:rPr>
        <w:t>: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Kaplan–Meier and ROC analyses of 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individual DNA methylation in the </w:t>
      </w:r>
      <w:r>
        <w:rPr>
          <w:rFonts w:hint="eastAsia" w:ascii="Times New Roman" w:hAnsi="Times New Roman" w:cs="Times New Roman"/>
          <w:b w:val="0"/>
          <w:bCs/>
          <w:sz w:val="24"/>
          <w:szCs w:val="24"/>
        </w:rPr>
        <w:t>TCGA LGG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bCs/>
          <w:sz w:val="24"/>
          <w:szCs w:val="24"/>
        </w:rPr>
        <w:t>cohort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(A) Kaplan–Meier analysis with </w:t>
      </w:r>
      <w:r>
        <w:rPr>
          <w:rFonts w:hint="default" w:ascii="Times New Roman" w:hAnsi="Times New Roman" w:cs="Times New Roman"/>
          <w:b w:val="0"/>
          <w:bCs/>
          <w:iCs/>
          <w:sz w:val="24"/>
          <w:szCs w:val="24"/>
        </w:rPr>
        <w:t>Wilcoxon test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were performed to estimate the differences in OS between the low- and high-risk patients. (B) ROC curves of </w:t>
      </w:r>
      <w:bookmarkStart w:id="2" w:name="OLE_LINK336"/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individual methylation signature </w:t>
      </w:r>
      <w:bookmarkEnd w:id="2"/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were used to demonstrate the sensitivity and specificity in predicting the OS of patients.</w:t>
      </w:r>
    </w:p>
    <w:p>
      <w:pPr>
        <w:shd w:val="clear" w:color="auto" w:fill="FFFFFF"/>
        <w:spacing w:before="120"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sz w:val="20"/>
          <w:szCs w:val="20"/>
        </w:rPr>
        <w:drawing>
          <wp:inline distT="0" distB="0" distL="0" distR="0">
            <wp:extent cx="4336415" cy="66319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812" cy="664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FormataOTF-Bold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TXingkai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JhZWRlNzcyZDZhOGUwMGE2NGE1M2Y1Y2VhNDUwNjY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in Neuroendo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wdxa0rvnrdwerepxd95v59xdawxvr2dprss&quot;&gt;My EndNote Library&lt;record-ids&gt;&lt;item&gt;904&lt;/item&gt;&lt;item&gt;907&lt;/item&gt;&lt;item&gt;914&lt;/item&gt;&lt;item&gt;921&lt;/item&gt;&lt;item&gt;924&lt;/item&gt;&lt;item&gt;925&lt;/item&gt;&lt;item&gt;926&lt;/item&gt;&lt;item&gt;928&lt;/item&gt;&lt;item&gt;929&lt;/item&gt;&lt;item&gt;930&lt;/item&gt;&lt;item&gt;932&lt;/item&gt;&lt;item&gt;933&lt;/item&gt;&lt;item&gt;936&lt;/item&gt;&lt;item&gt;937&lt;/item&gt;&lt;item&gt;938&lt;/item&gt;&lt;item&gt;939&lt;/item&gt;&lt;/record-ids&gt;&lt;/item&gt;&lt;/Libraries&gt;"/>
  </w:docVars>
  <w:rsids>
    <w:rsidRoot w:val="00674A84"/>
    <w:rsid w:val="000112B8"/>
    <w:rsid w:val="0005215D"/>
    <w:rsid w:val="000A6C29"/>
    <w:rsid w:val="000A7A0C"/>
    <w:rsid w:val="000D7DBD"/>
    <w:rsid w:val="000F3B2B"/>
    <w:rsid w:val="00107477"/>
    <w:rsid w:val="001451E9"/>
    <w:rsid w:val="00163762"/>
    <w:rsid w:val="001644D2"/>
    <w:rsid w:val="00183CE5"/>
    <w:rsid w:val="001A0560"/>
    <w:rsid w:val="001B5E23"/>
    <w:rsid w:val="001C1D22"/>
    <w:rsid w:val="001C47D3"/>
    <w:rsid w:val="001D71F3"/>
    <w:rsid w:val="001E3794"/>
    <w:rsid w:val="002343C9"/>
    <w:rsid w:val="00254127"/>
    <w:rsid w:val="002731B8"/>
    <w:rsid w:val="00285818"/>
    <w:rsid w:val="002940FA"/>
    <w:rsid w:val="002A4165"/>
    <w:rsid w:val="002D67CB"/>
    <w:rsid w:val="002D7C34"/>
    <w:rsid w:val="002E6A9A"/>
    <w:rsid w:val="002F01D2"/>
    <w:rsid w:val="00301E24"/>
    <w:rsid w:val="00307EDD"/>
    <w:rsid w:val="0032059F"/>
    <w:rsid w:val="00342431"/>
    <w:rsid w:val="003723F3"/>
    <w:rsid w:val="0037297B"/>
    <w:rsid w:val="003B1A7B"/>
    <w:rsid w:val="003C07B3"/>
    <w:rsid w:val="003D06FB"/>
    <w:rsid w:val="003D6970"/>
    <w:rsid w:val="003E1E8B"/>
    <w:rsid w:val="003E2F76"/>
    <w:rsid w:val="003F1153"/>
    <w:rsid w:val="00407C2C"/>
    <w:rsid w:val="00417199"/>
    <w:rsid w:val="00456A34"/>
    <w:rsid w:val="00457622"/>
    <w:rsid w:val="0046074E"/>
    <w:rsid w:val="00464C03"/>
    <w:rsid w:val="00466FA1"/>
    <w:rsid w:val="0047031A"/>
    <w:rsid w:val="00471A7A"/>
    <w:rsid w:val="00482225"/>
    <w:rsid w:val="00482C25"/>
    <w:rsid w:val="00493495"/>
    <w:rsid w:val="004A7022"/>
    <w:rsid w:val="004C564C"/>
    <w:rsid w:val="004D57EE"/>
    <w:rsid w:val="004E57A9"/>
    <w:rsid w:val="005255FD"/>
    <w:rsid w:val="00534573"/>
    <w:rsid w:val="0054167D"/>
    <w:rsid w:val="00565BA0"/>
    <w:rsid w:val="005769DA"/>
    <w:rsid w:val="00583870"/>
    <w:rsid w:val="005B474A"/>
    <w:rsid w:val="005F3DE5"/>
    <w:rsid w:val="005F7EFD"/>
    <w:rsid w:val="00613792"/>
    <w:rsid w:val="00622186"/>
    <w:rsid w:val="00636CCB"/>
    <w:rsid w:val="00663416"/>
    <w:rsid w:val="00674A84"/>
    <w:rsid w:val="00686B1E"/>
    <w:rsid w:val="006C130F"/>
    <w:rsid w:val="006C736C"/>
    <w:rsid w:val="006E609A"/>
    <w:rsid w:val="00700027"/>
    <w:rsid w:val="007038DB"/>
    <w:rsid w:val="00706A6E"/>
    <w:rsid w:val="007317A4"/>
    <w:rsid w:val="007317E6"/>
    <w:rsid w:val="007449DF"/>
    <w:rsid w:val="00746915"/>
    <w:rsid w:val="00754088"/>
    <w:rsid w:val="007663A6"/>
    <w:rsid w:val="007817C3"/>
    <w:rsid w:val="00794EDC"/>
    <w:rsid w:val="00796526"/>
    <w:rsid w:val="007D2A03"/>
    <w:rsid w:val="007D4271"/>
    <w:rsid w:val="007F6F4A"/>
    <w:rsid w:val="00801639"/>
    <w:rsid w:val="00830236"/>
    <w:rsid w:val="00836F9A"/>
    <w:rsid w:val="00865082"/>
    <w:rsid w:val="00867D92"/>
    <w:rsid w:val="00874BE1"/>
    <w:rsid w:val="0088518E"/>
    <w:rsid w:val="008878D1"/>
    <w:rsid w:val="008C0648"/>
    <w:rsid w:val="008C417E"/>
    <w:rsid w:val="008D1EE4"/>
    <w:rsid w:val="008D413C"/>
    <w:rsid w:val="008E1A0F"/>
    <w:rsid w:val="008E6D57"/>
    <w:rsid w:val="009144C0"/>
    <w:rsid w:val="0092172F"/>
    <w:rsid w:val="00937D33"/>
    <w:rsid w:val="00942454"/>
    <w:rsid w:val="00952CB0"/>
    <w:rsid w:val="009710D1"/>
    <w:rsid w:val="00994FC8"/>
    <w:rsid w:val="009B18E6"/>
    <w:rsid w:val="009B71FD"/>
    <w:rsid w:val="009D2651"/>
    <w:rsid w:val="009D6B04"/>
    <w:rsid w:val="009E1E32"/>
    <w:rsid w:val="009F6FF2"/>
    <w:rsid w:val="009F71FB"/>
    <w:rsid w:val="00A204B8"/>
    <w:rsid w:val="00A21174"/>
    <w:rsid w:val="00A5015E"/>
    <w:rsid w:val="00A5304D"/>
    <w:rsid w:val="00A53BC4"/>
    <w:rsid w:val="00A56EC5"/>
    <w:rsid w:val="00A621ED"/>
    <w:rsid w:val="00AA4D0C"/>
    <w:rsid w:val="00AA5657"/>
    <w:rsid w:val="00AB42B1"/>
    <w:rsid w:val="00AC05EA"/>
    <w:rsid w:val="00AD4497"/>
    <w:rsid w:val="00AD5075"/>
    <w:rsid w:val="00B03AF4"/>
    <w:rsid w:val="00B03B0E"/>
    <w:rsid w:val="00B2350E"/>
    <w:rsid w:val="00B653FF"/>
    <w:rsid w:val="00B8298B"/>
    <w:rsid w:val="00B83063"/>
    <w:rsid w:val="00B85281"/>
    <w:rsid w:val="00B92B8E"/>
    <w:rsid w:val="00B950D6"/>
    <w:rsid w:val="00B95EBF"/>
    <w:rsid w:val="00C136BC"/>
    <w:rsid w:val="00C1470C"/>
    <w:rsid w:val="00C17091"/>
    <w:rsid w:val="00C262FB"/>
    <w:rsid w:val="00C350FF"/>
    <w:rsid w:val="00C5066B"/>
    <w:rsid w:val="00C60845"/>
    <w:rsid w:val="00CA595D"/>
    <w:rsid w:val="00CA6CDB"/>
    <w:rsid w:val="00CA6F20"/>
    <w:rsid w:val="00CB0A69"/>
    <w:rsid w:val="00CB7635"/>
    <w:rsid w:val="00CE0249"/>
    <w:rsid w:val="00CE1468"/>
    <w:rsid w:val="00CE469E"/>
    <w:rsid w:val="00D32F6E"/>
    <w:rsid w:val="00D42445"/>
    <w:rsid w:val="00D61E5C"/>
    <w:rsid w:val="00D71F62"/>
    <w:rsid w:val="00D83073"/>
    <w:rsid w:val="00DA0E34"/>
    <w:rsid w:val="00DB46A1"/>
    <w:rsid w:val="00DB582B"/>
    <w:rsid w:val="00DC4923"/>
    <w:rsid w:val="00DD618E"/>
    <w:rsid w:val="00E13665"/>
    <w:rsid w:val="00E43789"/>
    <w:rsid w:val="00E55909"/>
    <w:rsid w:val="00E6541A"/>
    <w:rsid w:val="00E85898"/>
    <w:rsid w:val="00EB5B32"/>
    <w:rsid w:val="00EC03C8"/>
    <w:rsid w:val="00EC209B"/>
    <w:rsid w:val="00EC2387"/>
    <w:rsid w:val="00EC2519"/>
    <w:rsid w:val="00ED2970"/>
    <w:rsid w:val="00EE0361"/>
    <w:rsid w:val="00EE0741"/>
    <w:rsid w:val="00EE2B31"/>
    <w:rsid w:val="00F036BC"/>
    <w:rsid w:val="00F1443F"/>
    <w:rsid w:val="00F4339A"/>
    <w:rsid w:val="00FB11C0"/>
    <w:rsid w:val="00FE2598"/>
    <w:rsid w:val="00FE4996"/>
    <w:rsid w:val="07417B7B"/>
    <w:rsid w:val="11022000"/>
    <w:rsid w:val="16553E9A"/>
    <w:rsid w:val="1EA26BE1"/>
    <w:rsid w:val="26A07712"/>
    <w:rsid w:val="3F7F8F8B"/>
    <w:rsid w:val="3FE43E1D"/>
    <w:rsid w:val="4C173889"/>
    <w:rsid w:val="4CFED95C"/>
    <w:rsid w:val="588834ED"/>
    <w:rsid w:val="5C6A6740"/>
    <w:rsid w:val="66576847"/>
    <w:rsid w:val="6BFC7C5A"/>
    <w:rsid w:val="6CEB7CE9"/>
    <w:rsid w:val="6FEF3ED8"/>
    <w:rsid w:val="73C549A8"/>
    <w:rsid w:val="73FFFCE2"/>
    <w:rsid w:val="7AC73C9D"/>
    <w:rsid w:val="7DD4315F"/>
    <w:rsid w:val="7DF77454"/>
    <w:rsid w:val="DF5A8402"/>
    <w:rsid w:val="F75F21C7"/>
    <w:rsid w:val="FF77F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unhideWhenUsed/>
    <w:qFormat/>
    <w:uiPriority w:val="99"/>
    <w:pPr>
      <w:spacing w:after="0" w:line="240" w:lineRule="auto"/>
    </w:pPr>
    <w:rPr>
      <w:rFonts w:ascii="SimSun" w:eastAsia="SimSun"/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4">
    <w:name w:val="header"/>
    <w:basedOn w:val="1"/>
    <w:link w:val="11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5">
    <w:name w:val="Normal (Web)"/>
    <w:basedOn w:val="1"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8"/>
    <w:qFormat/>
    <w:uiPriority w:val="20"/>
    <w:rPr>
      <w:i/>
      <w:i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字符"/>
    <w:basedOn w:val="8"/>
    <w:link w:val="4"/>
    <w:qFormat/>
    <w:uiPriority w:val="99"/>
  </w:style>
  <w:style w:type="character" w:customStyle="1" w:styleId="12">
    <w:name w:val="页脚字符"/>
    <w:basedOn w:val="8"/>
    <w:link w:val="3"/>
    <w:qFormat/>
    <w:uiPriority w:val="99"/>
  </w:style>
  <w:style w:type="paragraph" w:customStyle="1" w:styleId="13">
    <w:name w:val="EndNote Bibliography Title"/>
    <w:basedOn w:val="1"/>
    <w:link w:val="14"/>
    <w:qFormat/>
    <w:uiPriority w:val="0"/>
    <w:pPr>
      <w:spacing w:after="0"/>
      <w:jc w:val="center"/>
    </w:pPr>
    <w:rPr>
      <w:rFonts w:ascii="Calibri" w:hAnsi="Calibri" w:cs="Calibri"/>
    </w:rPr>
  </w:style>
  <w:style w:type="character" w:customStyle="1" w:styleId="14">
    <w:name w:val="EndNote Bibliography Title Char"/>
    <w:basedOn w:val="8"/>
    <w:link w:val="13"/>
    <w:qFormat/>
    <w:uiPriority w:val="0"/>
    <w:rPr>
      <w:rFonts w:ascii="Calibri" w:hAnsi="Calibri" w:cs="Calibri"/>
    </w:rPr>
  </w:style>
  <w:style w:type="paragraph" w:customStyle="1" w:styleId="15">
    <w:name w:val="EndNote Bibliography"/>
    <w:basedOn w:val="1"/>
    <w:link w:val="16"/>
    <w:qFormat/>
    <w:uiPriority w:val="0"/>
    <w:pPr>
      <w:spacing w:line="240" w:lineRule="auto"/>
    </w:pPr>
    <w:rPr>
      <w:rFonts w:ascii="Calibri" w:hAnsi="Calibri" w:cs="Calibri"/>
    </w:rPr>
  </w:style>
  <w:style w:type="character" w:customStyle="1" w:styleId="16">
    <w:name w:val="EndNote Bibliography Char"/>
    <w:basedOn w:val="8"/>
    <w:link w:val="15"/>
    <w:qFormat/>
    <w:uiPriority w:val="0"/>
    <w:rPr>
      <w:rFonts w:ascii="Calibri" w:hAnsi="Calibri" w:cs="Calibri"/>
    </w:rPr>
  </w:style>
  <w:style w:type="paragraph" w:customStyle="1" w:styleId="17">
    <w:name w:val="列出段落1"/>
    <w:basedOn w:val="1"/>
    <w:qFormat/>
    <w:uiPriority w:val="34"/>
    <w:pPr>
      <w:ind w:left="720"/>
      <w:contextualSpacing/>
    </w:pPr>
  </w:style>
  <w:style w:type="character" w:customStyle="1" w:styleId="18">
    <w:name w:val="批注框文本字符"/>
    <w:basedOn w:val="8"/>
    <w:link w:val="2"/>
    <w:semiHidden/>
    <w:qFormat/>
    <w:uiPriority w:val="99"/>
    <w:rPr>
      <w:rFonts w:ascii="SimSun" w:eastAsia="SimSun"/>
      <w:sz w:val="18"/>
      <w:szCs w:val="18"/>
    </w:rPr>
  </w:style>
  <w:style w:type="character" w:customStyle="1" w:styleId="19">
    <w:name w:val="Caption Color"/>
    <w:qFormat/>
    <w:uiPriority w:val="0"/>
    <w:rPr>
      <w:rFonts w:ascii="Helvetica" w:hAnsi="Helvetica" w:cs="FormataOTF-Bold"/>
      <w:bCs/>
      <w:color w:val="00629B"/>
      <w:sz w:val="14"/>
      <w:szCs w:val="14"/>
    </w:rPr>
  </w:style>
  <w:style w:type="paragraph" w:customStyle="1" w:styleId="20">
    <w:name w:val="MDPI_1.3_authornames"/>
    <w:basedOn w:val="1"/>
    <w:next w:val="1"/>
    <w:qFormat/>
    <w:uiPriority w:val="0"/>
    <w:pPr>
      <w:adjustRightInd w:val="0"/>
      <w:snapToGrid w:val="0"/>
      <w:spacing w:after="360" w:line="260" w:lineRule="atLeast"/>
    </w:pPr>
    <w:rPr>
      <w:rFonts w:ascii="Palatino Linotype" w:hAnsi="Palatino Linotype" w:eastAsia="Times New Roman" w:cs="Times New Roman"/>
      <w:b/>
      <w:color w:val="000000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emf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180</Words>
  <Characters>991</Characters>
  <Lines>10</Lines>
  <Paragraphs>2</Paragraphs>
  <TotalTime>29</TotalTime>
  <ScaleCrop>false</ScaleCrop>
  <LinksUpToDate>false</LinksUpToDate>
  <CharactersWithSpaces>1155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2023-04-17T07:10:00Z</dcterms:created>
  <dc:creator>Wangq</dc:creator>
  <cp:lastModifiedBy>Rui Zhu</cp:lastModifiedBy>
  <cp:lastPrinted>2023-04-17T07:00:00Z</cp:lastPrinted>
  <dcterms:modified xsi:type="dcterms:W3CDTF">2024-01-08T22:36:01Z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F41EFE9784D145B4A41C2D44640FAC0E_13</vt:lpwstr>
  </property>
</Properties>
</file>