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41" w:rsidRPr="00486314" w:rsidRDefault="00027A41" w:rsidP="00027A41">
      <w:pPr>
        <w:snapToGrid w:val="0"/>
        <w:rPr>
          <w:rFonts w:ascii="Times New Roman" w:hAnsi="Times New Roman"/>
          <w:b/>
          <w:bCs/>
          <w:sz w:val="24"/>
          <w:szCs w:val="24"/>
        </w:rPr>
      </w:pPr>
      <w:r w:rsidRPr="00486314">
        <w:rPr>
          <w:rFonts w:ascii="Times New Roman" w:hAnsi="Times New Roman"/>
          <w:b/>
          <w:bCs/>
          <w:sz w:val="24"/>
          <w:szCs w:val="24"/>
        </w:rPr>
        <w:t>Supplementary information</w:t>
      </w:r>
    </w:p>
    <w:p w:rsidR="00027A41" w:rsidRPr="00E872BC" w:rsidRDefault="00027A41" w:rsidP="00027A41">
      <w:pPr>
        <w:snapToGrid w:val="0"/>
        <w:rPr>
          <w:rFonts w:ascii="Times New Roman" w:hAnsi="Times New Roman"/>
          <w:b/>
          <w:bCs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Tables</w:t>
      </w:r>
    </w:p>
    <w:p w:rsidR="00027A41" w:rsidRPr="00E872BC" w:rsidRDefault="00027A41" w:rsidP="00027A41">
      <w:pPr>
        <w:snapToGrid w:val="0"/>
        <w:rPr>
          <w:rFonts w:ascii="Times New Roman" w:hAnsi="Times New Roman"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Table. 1.</w:t>
      </w:r>
      <w:r w:rsidRPr="00E872BC">
        <w:rPr>
          <w:rFonts w:ascii="Times New Roman" w:hAnsi="Times New Roman"/>
          <w:sz w:val="24"/>
          <w:szCs w:val="24"/>
        </w:rPr>
        <w:t xml:space="preserve"> Search results from GEO database with the keywords</w:t>
      </w:r>
    </w:p>
    <w:tbl>
      <w:tblPr>
        <w:tblStyle w:val="a6"/>
        <w:tblW w:w="9075" w:type="dxa"/>
        <w:tblLook w:val="04A0" w:firstRow="1" w:lastRow="0" w:firstColumn="1" w:lastColumn="0" w:noHBand="0" w:noVBand="1"/>
      </w:tblPr>
      <w:tblGrid>
        <w:gridCol w:w="3278"/>
        <w:gridCol w:w="3284"/>
        <w:gridCol w:w="2513"/>
      </w:tblGrid>
      <w:tr w:rsidR="00027A41" w:rsidRPr="00E872BC" w:rsidTr="00B6392D">
        <w:trPr>
          <w:trHeight w:val="349"/>
        </w:trPr>
        <w:tc>
          <w:tcPr>
            <w:tcW w:w="3278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Keywords used</w:t>
            </w:r>
          </w:p>
        </w:tc>
        <w:tc>
          <w:tcPr>
            <w:tcW w:w="3284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Number of results obtained</w:t>
            </w:r>
          </w:p>
        </w:tc>
        <w:tc>
          <w:tcPr>
            <w:tcW w:w="2513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Datasets observed</w:t>
            </w:r>
          </w:p>
        </w:tc>
      </w:tr>
      <w:tr w:rsidR="00027A41" w:rsidRPr="00E872BC" w:rsidTr="00B6392D">
        <w:trPr>
          <w:trHeight w:val="349"/>
        </w:trPr>
        <w:tc>
          <w:tcPr>
            <w:tcW w:w="3278" w:type="dxa"/>
            <w:noWrap/>
          </w:tcPr>
          <w:p w:rsidR="00027A41" w:rsidRPr="007A4431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9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ccRCC</w:t>
            </w:r>
          </w:p>
        </w:tc>
        <w:tc>
          <w:tcPr>
            <w:tcW w:w="3284" w:type="dxa"/>
            <w:noWrap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2569</w:t>
            </w:r>
          </w:p>
        </w:tc>
        <w:tc>
          <w:tcPr>
            <w:tcW w:w="2513" w:type="dxa"/>
            <w:noWrap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</w:t>
            </w:r>
          </w:p>
        </w:tc>
      </w:tr>
      <w:tr w:rsidR="00027A41" w:rsidRPr="00E872BC" w:rsidTr="00B6392D">
        <w:trPr>
          <w:trHeight w:val="349"/>
        </w:trPr>
        <w:tc>
          <w:tcPr>
            <w:tcW w:w="3278" w:type="dxa"/>
            <w:noWrap/>
          </w:tcPr>
          <w:p w:rsidR="00027A41" w:rsidRPr="007A4431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93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Clear cell renal cell carcinoma</w:t>
            </w:r>
          </w:p>
        </w:tc>
        <w:tc>
          <w:tcPr>
            <w:tcW w:w="3284" w:type="dxa"/>
            <w:noWrap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11307</w:t>
            </w:r>
          </w:p>
        </w:tc>
        <w:tc>
          <w:tcPr>
            <w:tcW w:w="2513" w:type="dxa"/>
            <w:noWrap/>
          </w:tcPr>
          <w:p w:rsidR="00027A41" w:rsidRPr="00E872BC" w:rsidRDefault="00027A41" w:rsidP="00B6392D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</w:t>
            </w:r>
          </w:p>
        </w:tc>
      </w:tr>
    </w:tbl>
    <w:p w:rsidR="00027A41" w:rsidRPr="0079318D" w:rsidRDefault="00027A41" w:rsidP="00027A41">
      <w:pPr>
        <w:snapToGrid w:val="0"/>
        <w:rPr>
          <w:rFonts w:ascii="Times New Roman" w:hAnsi="Times New Roman"/>
          <w:b/>
          <w:bCs/>
          <w:sz w:val="24"/>
          <w:szCs w:val="24"/>
        </w:rPr>
      </w:pPr>
    </w:p>
    <w:p w:rsidR="00027A41" w:rsidRPr="00486314" w:rsidRDefault="00027A41" w:rsidP="00027A41">
      <w:pPr>
        <w:snapToGrid w:val="0"/>
        <w:rPr>
          <w:rFonts w:ascii="Times New Roman" w:hAnsi="Times New Roman"/>
          <w:sz w:val="24"/>
          <w:szCs w:val="24"/>
        </w:rPr>
      </w:pPr>
      <w:r w:rsidRPr="007A4431">
        <w:rPr>
          <w:rFonts w:ascii="Times New Roman" w:hAnsi="Times New Roman"/>
          <w:b/>
          <w:bCs/>
          <w:sz w:val="24"/>
          <w:szCs w:val="24"/>
        </w:rPr>
        <w:t xml:space="preserve">Supplementary Table. 2. </w:t>
      </w:r>
      <w:r w:rsidRPr="007A674B">
        <w:rPr>
          <w:rFonts w:ascii="Times New Roman" w:hAnsi="Times New Roman"/>
          <w:sz w:val="24"/>
          <w:szCs w:val="24"/>
        </w:rPr>
        <w:t>The</w:t>
      </w:r>
      <w:r w:rsidRPr="007A67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A674B">
        <w:rPr>
          <w:rFonts w:ascii="Times New Roman" w:hAnsi="Times New Roman"/>
          <w:sz w:val="24"/>
          <w:szCs w:val="24"/>
        </w:rPr>
        <w:t>ccRCC datasets selected for the analysis</w:t>
      </w:r>
      <w:r w:rsidRPr="00486314">
        <w:rPr>
          <w:rFonts w:ascii="Times New Roman" w:hAnsi="Times New Roman"/>
          <w:sz w:val="24"/>
          <w:szCs w:val="24"/>
        </w:rPr>
        <w:t xml:space="preserve"> from GEO database</w:t>
      </w:r>
    </w:p>
    <w:tbl>
      <w:tblPr>
        <w:tblStyle w:val="a6"/>
        <w:tblpPr w:leftFromText="180" w:rightFromText="180" w:vertAnchor="text" w:horzAnchor="margin" w:tblpY="8"/>
        <w:tblW w:w="9058" w:type="dxa"/>
        <w:tblLook w:val="04A0" w:firstRow="1" w:lastRow="0" w:firstColumn="1" w:lastColumn="0" w:noHBand="0" w:noVBand="1"/>
      </w:tblPr>
      <w:tblGrid>
        <w:gridCol w:w="2637"/>
        <w:gridCol w:w="1476"/>
        <w:gridCol w:w="2267"/>
        <w:gridCol w:w="2678"/>
      </w:tblGrid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GEO accession number </w:t>
            </w:r>
          </w:p>
        </w:tc>
        <w:tc>
          <w:tcPr>
            <w:tcW w:w="147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Set number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samples in ccRCC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samples in Control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GSE71963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Set1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GSE68417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Set2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GSE66272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Set3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GSE76351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Set4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GSE53757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Set5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72 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GSE40435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Set6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GSE46699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Set7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  <w:vAlign w:val="bottom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GSE36895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Set8</w:t>
            </w:r>
          </w:p>
        </w:tc>
        <w:tc>
          <w:tcPr>
            <w:tcW w:w="2267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78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GSE14994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Set9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GSE15641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Set10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GSE16449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Set11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27A41" w:rsidRPr="00E872BC" w:rsidTr="00B6392D">
        <w:trPr>
          <w:trHeight w:val="275"/>
        </w:trPr>
        <w:tc>
          <w:tcPr>
            <w:tcW w:w="2637" w:type="dxa"/>
          </w:tcPr>
          <w:p w:rsidR="00027A41" w:rsidRPr="007A4431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GSE17895</w:t>
            </w:r>
          </w:p>
        </w:tc>
        <w:tc>
          <w:tcPr>
            <w:tcW w:w="1476" w:type="dxa"/>
            <w:vAlign w:val="bottom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Set12</w:t>
            </w:r>
          </w:p>
        </w:tc>
        <w:tc>
          <w:tcPr>
            <w:tcW w:w="226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67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027A41" w:rsidRPr="0079318D" w:rsidRDefault="00027A41" w:rsidP="00027A41">
      <w:pPr>
        <w:pStyle w:val="Tabletitle"/>
        <w:snapToGrid w:val="0"/>
      </w:pPr>
    </w:p>
    <w:p w:rsidR="00027A41" w:rsidRPr="00E872BC" w:rsidRDefault="00027A41" w:rsidP="00027A41">
      <w:pPr>
        <w:pStyle w:val="Tabletitle"/>
        <w:snapToGrid w:val="0"/>
      </w:pPr>
      <w:r w:rsidRPr="0079318D">
        <w:rPr>
          <w:b/>
          <w:bCs/>
        </w:rPr>
        <w:t>Supplementary Table. 3.</w:t>
      </w:r>
      <w:r w:rsidRPr="007A4431">
        <w:t xml:space="preserve"> The top 10 enriched gene ontology terms of the differentially expressed genes (FDR &lt; 0.05) identified from the microarray datasets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63"/>
        <w:gridCol w:w="2316"/>
        <w:gridCol w:w="857"/>
        <w:gridCol w:w="1188"/>
        <w:gridCol w:w="1417"/>
        <w:gridCol w:w="2075"/>
      </w:tblGrid>
      <w:tr w:rsidR="00027A41" w:rsidRPr="00E872BC" w:rsidTr="00B6392D">
        <w:tc>
          <w:tcPr>
            <w:tcW w:w="1163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Count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FDR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 Value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Genes</w:t>
            </w:r>
          </w:p>
        </w:tc>
      </w:tr>
      <w:tr w:rsidR="00027A41" w:rsidRPr="00E872BC" w:rsidTr="00B6392D">
        <w:tc>
          <w:tcPr>
            <w:tcW w:w="1163" w:type="dxa"/>
            <w:vMerge w:val="restart"/>
            <w:textDirection w:val="btLr"/>
          </w:tcPr>
          <w:p w:rsidR="00027A41" w:rsidRPr="007A4431" w:rsidRDefault="00027A41" w:rsidP="00B6392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sz w:val="24"/>
                <w:szCs w:val="24"/>
              </w:rPr>
              <w:t>Cellular components</w:t>
            </w: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Collagen-containing extracellular matrix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4.14E-14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3.37E-10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COL5A2, SFRP1, VWF, AZGP1, LAMA4, DCN, LGALS1, TGFBI, ANGPTL2, PXDN, TIMP1, LOX, VCAN, ANGPTL4, ENTPD1, SERPINE1, HRG, FGF9, PLG, SERPINA5,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Platelet alpha granule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4.97E-13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4.00E-10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VWF, EGF, IGFBP3, TIMP1, SERPINE1, LHFPL2, HRG, PLG, SERPINA5,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Basolateral plasma membrane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9.82E-13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7.79E-10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 xml:space="preserve">CA9, ATP6V1B1, ABCA1, ANK2, SLC13A3, CAV1, AQP2, ABCA8, PTH1R, SLC2A1, </w:t>
            </w:r>
            <w:r w:rsidRPr="00E872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SLC22A6, SLC34A1, HPGD, ENTPD1, UMOD, EPCAM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Basal part of cell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5.67E-12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1.81E-09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CA9, ATP6V1B1, ABCA1, ANK2, SLC13A3, CAV1, AQP2, ABCA8, PTH1R, SLC2A1, EDN1, SLC22A6, SLC34A1, HPGD, ENTPD1, UMOD, EPCAM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Apical part of cell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2.71E-11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3.07E-09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DPEP1, ATP6V1B1, MAL, ANK2, CYP4A11, ACP3, VASH1, CAV1, AQP2, PTH1R, SLC2A1, SLC7A9, CLIC5, SLC12A1, SLC12A3, SLC34A1, ATP6V0A4, SCNN1A, UMOD, SLC5A12, EPCAM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Apical plasma membrane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4.92E-11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3.15E-09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DPEP1, ATP6V1B1, MAL, ANK2, CYP4A11, CAV1, AQP2, PTH1R, SLC2A1, SLC7A9, CLIC5, SLC12A1, SLC12A3, SLC34A1, ATP6V0A4, SCNN1A, UMOD, SLC5A12, EPCAM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Basal plasma membrane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1.25E-10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4.68E-09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CA9, ATP6V1B1, ABCA1, ANK2, SLC13A3, CAV1, AQP2, ABCA8, PTH1R, SLC2A1, SLC22A6, SLC34A1, HPGD, ENTPD1, UMOD, EPCAM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Extracellular matrix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4.56E-10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5.56E-09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COL5A2, SFRP1, VWF, AZGP1, LAMA4, DCN, LGALS1, TGFBI, ANGPTL2, PXDN, TIMP1, LOX, VCAN, ANGPTL4, ENTPD1, SERPINE1, FGF1, HRG, FGF9, PLG, SERPINA5,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External encapsulating structure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1.11E-09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5.89E-09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COL5A2, SFRP1, VWF, AZGP1, LAMA4, DCN, LGALS1, TGFBI, ANGPTL2, PXDN, TIMP1, LOX, VCAN, ANGPTL4, ENTPD1, SERPINE1, FGF1, HRG, FGF9, PLG, SERPINA5,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Cell surface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6.56E-09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2.48E-08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ABCA1, SFRP1, VWF, AZGP1, CAV1, ITGA5, PTGER3, ITGB2, BTN3A2, CD163, LGALS1, ABCG1, SLC12A1, SLC34A1, CXCR4, SCARB1, VCAN, ENTPD1, TSPAN8, SCNN1A, HRG, UMOD, MME, PLG, EPCAM, ENO2, HSPA2, SERPINA5, VEGFA</w:t>
            </w:r>
          </w:p>
        </w:tc>
      </w:tr>
      <w:tr w:rsidR="00027A41" w:rsidRPr="00E872BC" w:rsidTr="00B6392D">
        <w:tc>
          <w:tcPr>
            <w:tcW w:w="1163" w:type="dxa"/>
            <w:vMerge w:val="restart"/>
            <w:textDirection w:val="btLr"/>
          </w:tcPr>
          <w:p w:rsidR="00027A41" w:rsidRPr="007A4431" w:rsidRDefault="00027A41" w:rsidP="00B6392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sz w:val="24"/>
                <w:szCs w:val="24"/>
              </w:rPr>
              <w:t>Molecular functions</w:t>
            </w: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Carboxylic acid binding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1.43E-06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1.79E-09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EGLN3, APOC1, FTCD, PTGER3, DDC, FABP6, FABP7, TYMS, HPGD, ASS1, PYGL, ST8SIA4, PCCA, PLOD2, SERPINA5, PCK1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Signalling receptor binding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5.90E-07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DOCK2, ABCA1, SFRP1, VWF, TCF21, GATA3, LAMA4, GRB14, CAV1, ITGA5, ITGB2, PGF, BTN3A2, EDN1, ADM, TGFBI, PPARGC1A, ANGPTL2, PTPRD, PXDN, EGF, GABARAPL1, TIMP1, NETO2, STC2, ANGPTL4, SERPINE1, TSPAN8, FGF1, HRG, CD70, FGF9, PLCL1, PLG, FYB1, TAP1,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Monosaccharide binding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1.93E-04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7.23E-07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EGLN3, HK2, PFKP, LGALS1, FBP1, PYGL, ALDOB, PLOD2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Vitamin binding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1.11E-06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EGLN3, ABAT, CALB1, FTCD, DDC, TYMS, OGDHL, PYGL, PCCA, PLOD2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Ion transmembrane transporter activity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2.30E-04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1.59E-06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CYBB, ATP6V1B1, ABCA1, ANK2, AZGP1, NDUFA4L2, SLC13A3, CAV1, AQP2, SLC2A1, SLC7A9, SLC22A6, ABCG1, CLIC5, SLC12A1, SLC12A3, SLC13A1, CLCNKB, SLC34A1, KCNJ1, ATP6V0A4, KCNJ15, KCNK3, SCNN1A, SLC5A12, TAP1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Oxidoreductase activity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2.30E-04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1.72E-06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CYBB, EGLN3, FMO1, CYP2J2, CYP4A11, ALDH8A1, NDUFA4L2, CP, ADH6, PXDN, HPD, LOX, SCD, HPGD, DIO1, OGDHL, ALDH4A1, HADH, HSD11B2, PLOD2, HAO2, DCXR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Transmembrane transporter activity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6.68E-04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5.84E-06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CYBB, ATP6V1B1, ABCA1, ANK2, AZGP1, NDUFA4L2, SLC13A3, CAV1, AQP2, ABCA8, SLC2A1, SLC7A9, SLC22A6, ABCG1, CLIC5, SLC12A1, SLC12A3, SLC13A1, CLCNKB, SLC34A1, KCNJ1, ATP6V0A4, KCNJ15, KCNK3, SCNN1A, SLC5A12, TAP1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Transporter activity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1.08E-03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1.08E-05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CYBB, ATP6V1B1, ABCA1, ANK2, AZGP1, NDUFA4L2, SLC13A3, CAV1, AQP2, ABCA8, SLC2A1, SLC7A9, SLC22A6, ABCG1, CLIC5, SLC12A1, SLC12A3, SLC13A1, CLCNKB, SLC34A1, KCNJ1, SCARB1, ATP6V0A4, KCNJ15, KCNK3, SCNN1A, SLC5A12, TAP1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Glycosaminoglycan binding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1.41E-03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1.59E-05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SFRP1, DCN, PGF, VCAN, FGF1, HRG, FGF9, TNFAIP6, SERPINA5, KNG1,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Anion transmembrane transporter activity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2.13E-03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2.66E-05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ABCA1, AZGP1, SLC13A3, AQP2, SLC2A1, SLC7A9, SLC22A6, ABCG1, CLIC5, SLC12A1, SLC12A3, SLC13A1, CLCNKB, SLC5A12, TAP1</w:t>
            </w:r>
          </w:p>
        </w:tc>
      </w:tr>
      <w:tr w:rsidR="00027A41" w:rsidRPr="00E872BC" w:rsidTr="00B6392D">
        <w:tc>
          <w:tcPr>
            <w:tcW w:w="1163" w:type="dxa"/>
            <w:vMerge w:val="restart"/>
            <w:textDirection w:val="btLr"/>
          </w:tcPr>
          <w:p w:rsidR="00027A41" w:rsidRPr="007A4431" w:rsidRDefault="00027A41" w:rsidP="00B6392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18D">
              <w:rPr>
                <w:rFonts w:ascii="Times New Roman" w:hAnsi="Times New Roman" w:cs="Times New Roman"/>
                <w:sz w:val="24"/>
                <w:szCs w:val="24"/>
              </w:rPr>
              <w:t>Biological process</w:t>
            </w: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Organic acid metabolic process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8.96E-18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8.96E-18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DPEP1, GLYAT, ATP6V1B1, DDIT4, ABAT, FMO1, HK2, CYP2J2, CYP4A11, ALDH8A1, GATM, APOC1, CAV1, FTCD, ACSF2, PFKP, DDC, SLC2A1, EDN1, BHMT, FABP6, ADH6, PPARGC1A, FBP1, SLC34A1, HPD, SCD, HPGD, ASS1, DIO1, OGDHL, UMOD, ALDH4A1, HADH, ALDOB, ALDOC, PCCA, PLOD2, ENO2, G6PC1, HAO2, DCXR, PCK1, PCK2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Carboxylic acid metabolic process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2.15E-16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2.15E-16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DPEP1, GLYAT, ATP6V1B1, DDIT4, ABAT, HK2, CYP2J2, CYP4A11, ALDH8A1, GATM, APOC1, CAV1, FTCD, ACSF2, PFKP, DDC, SLC2A1, EDN1, BHMT, FABP6, ADH6, PPARGC1A, FBP1, SLC34A1, HPD, SCD, HPGD, ASS1, DIO1, OGDHL, ALDH4A1, HADH, ALDOB, ALDOC, PCCA, PLOD2, ENO2, HAO2, DCXR, PCK1, PCK2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Oxoacid metabolic process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6.38E-16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6.38E-16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DPEP1, GLYAT, ATP6V1B1, DDIT4, ABAT, HK2, CYP2J2, CYP4A11, ALDH8A1, GATM, APOC1, CAV1, FTCD, ACSF2, PFKP, DDC, SLC2A1, EDN1, BHMT, FABP6, ADH6, PPARGC1A, FBP1, SLC34A1, HPD, SCD, HPGD, ASS1, DIO1, OGDHL, ALDH4A1, HADH, ALDOB, ALDOC, PCCA, PLOD2, ENO2, HAO2, DCXR, PCK1, PCK2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Monocarboxylic acid metabolic process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4.91E-15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4.91E-15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GLYAT, ATP6V1B1, DDIT4, ABAT, HK2, CYP2J2, CYP4A11, ALDH8A1, GATM, APOC1, CAV1, FTCD, ACSF2, PFKP, EDN1, FABP6, ADH6, PPARGC1A, FBP1, SCD, HPGD, OGDHL, ALDH4A1, HADH, ALDOB, ALDOC, PCCA, ENO2, HAO2, DCXR, PCK1, PCK2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Kidney development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2.93E-14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2.93E-14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SFRP1, CALB1, TCF21, CYP4A11, GATA3, DCN, AQP2, PGF, TFAP2B, NPHS2, SLC12A1, HEY1, SLC34A1, CXCR4, KCNJ1, HPGD, VCAN, ASS1, FGF1, UMOD, MME, EPCAM,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Renal system development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6.39E-14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6.39E-14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SFRP1, CALB1, TCF21, CYP4A11, GATA3, DCN, AQP2, PGF, TFAP2B, NPHS2, SLC12A1, HEY1, SLC34A1, CXCR4, KCNJ1, HPGD, VCAN, ASS1, FGF1, UMOD, MME, EPCAM,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Response to drug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1.90E-13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1.90E-13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CA9, CYBB, DPEP1, ABAT, SFRP1, CYP2J2, GATA3, CCND1, DDC, TFAP2B, EDN1, LGALS1, TYMS, PPARGC1A, FBP1, SLC34A1, CXCR4, LOX, ASS1, SERPINE1, KCNK3, UMOD, HADH, HSD11B2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Urogenital system development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7.91E-13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7.91E-13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SFRP1, CALB1, TCF21, CYP4A11, GATA3, DCN, AQP2, PGF, TFAP2B, NPHS2, SLC12A1, HEY1, SLC34A1, CXCR4, KCNJ1, HPGD, VCAN, ASS1, FGF1, UMOD, MME, EPCAM, VEGFA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Response to lipid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2.16E-12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2.16E-12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CA9, CYBB, IL10RA, VIM, DDIT4, ABCA1, FMO1, SFRP1, TCF21, ESRRG, CCND1, CAV1, DCN, PTGER3, EDN1, TYMS, ADM, PPARGC1A, ABCG1, HEY1, STC2, SLC34A1, LOX, SCD, HPGD, SCARB1, ASS1, SERPINE1, SCNN1A, UMOD, HSD11B2, LY86, PCK1, PCK2</w:t>
            </w:r>
          </w:p>
        </w:tc>
      </w:tr>
      <w:tr w:rsidR="00027A41" w:rsidRPr="00E872BC" w:rsidTr="00B6392D">
        <w:tc>
          <w:tcPr>
            <w:tcW w:w="1163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Response to hypoxia</w:t>
            </w:r>
          </w:p>
        </w:tc>
        <w:tc>
          <w:tcPr>
            <w:tcW w:w="85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88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1.56E-11</w:t>
            </w:r>
          </w:p>
        </w:tc>
        <w:tc>
          <w:tcPr>
            <w:tcW w:w="141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1.56E-11</w:t>
            </w:r>
          </w:p>
        </w:tc>
        <w:tc>
          <w:tcPr>
            <w:tcW w:w="207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CA9, CYBB, DDIT4, EGLN3, ABAT, SFRP1, HK2, CAV1, PGF, SLC2A1, EDN1, ADM, PPARGC1A, STC2, CXCR4, ANGPTL4, KCNK3, HSD11B2, PLOD2, PCK1, VEGFA</w:t>
            </w:r>
          </w:p>
        </w:tc>
      </w:tr>
    </w:tbl>
    <w:p w:rsidR="00027A41" w:rsidRPr="007A4431" w:rsidRDefault="00027A41" w:rsidP="00027A41">
      <w:pPr>
        <w:pStyle w:val="Tabletitle"/>
        <w:snapToGrid w:val="0"/>
        <w:rPr>
          <w:b/>
          <w:bCs/>
        </w:rPr>
      </w:pPr>
    </w:p>
    <w:p w:rsidR="00027A41" w:rsidRPr="00E872BC" w:rsidRDefault="00027A41" w:rsidP="00027A41">
      <w:pPr>
        <w:pStyle w:val="Tabletitle"/>
        <w:snapToGrid w:val="0"/>
      </w:pPr>
      <w:r w:rsidRPr="00B6392D">
        <w:rPr>
          <w:b/>
          <w:bCs/>
        </w:rPr>
        <w:t>Supplementary table. 4.</w:t>
      </w:r>
      <w:r w:rsidRPr="00B6392D">
        <w:t xml:space="preserve"> The top 10 enriched pathway terms of the differentially expressed genes (FDR &lt; 0.05) identified from the microarray datasets </w:t>
      </w:r>
    </w:p>
    <w:tbl>
      <w:tblPr>
        <w:tblStyle w:val="a6"/>
        <w:tblW w:w="9016" w:type="dxa"/>
        <w:tblLook w:val="04A0" w:firstRow="1" w:lastRow="0" w:firstColumn="1" w:lastColumn="0" w:noHBand="0" w:noVBand="1"/>
      </w:tblPr>
      <w:tblGrid>
        <w:gridCol w:w="1163"/>
        <w:gridCol w:w="2141"/>
        <w:gridCol w:w="947"/>
        <w:gridCol w:w="1281"/>
        <w:gridCol w:w="1432"/>
        <w:gridCol w:w="2055"/>
      </w:tblGrid>
      <w:tr w:rsidR="00027A41" w:rsidRPr="00E872BC" w:rsidTr="00B6392D">
        <w:trPr>
          <w:trHeight w:val="281"/>
        </w:trPr>
        <w:tc>
          <w:tcPr>
            <w:tcW w:w="1160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Category</w:t>
            </w:r>
          </w:p>
        </w:tc>
        <w:tc>
          <w:tcPr>
            <w:tcW w:w="2141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Term</w:t>
            </w:r>
          </w:p>
        </w:tc>
        <w:tc>
          <w:tcPr>
            <w:tcW w:w="947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Count</w:t>
            </w:r>
          </w:p>
        </w:tc>
        <w:tc>
          <w:tcPr>
            <w:tcW w:w="1281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FDR</w:t>
            </w:r>
          </w:p>
        </w:tc>
        <w:tc>
          <w:tcPr>
            <w:tcW w:w="1432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 Value</w:t>
            </w:r>
          </w:p>
        </w:tc>
        <w:tc>
          <w:tcPr>
            <w:tcW w:w="2055" w:type="dxa"/>
            <w:noWrap/>
            <w:hideMark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872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Genes</w:t>
            </w:r>
          </w:p>
        </w:tc>
      </w:tr>
      <w:tr w:rsidR="00027A41" w:rsidRPr="00E872BC" w:rsidTr="00B6392D">
        <w:trPr>
          <w:trHeight w:val="293"/>
        </w:trPr>
        <w:tc>
          <w:tcPr>
            <w:tcW w:w="1160" w:type="dxa"/>
            <w:vMerge w:val="restart"/>
            <w:textDirection w:val="btLr"/>
          </w:tcPr>
          <w:p w:rsidR="00027A41" w:rsidRPr="007A674B" w:rsidRDefault="00027A41" w:rsidP="00B6392D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4431">
              <w:rPr>
                <w:rFonts w:ascii="Times New Roman" w:hAnsi="Times New Roman" w:cs="Times New Roman"/>
                <w:sz w:val="24"/>
                <w:szCs w:val="24"/>
              </w:rPr>
              <w:t>Pathways</w:t>
            </w: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HIF-1-alpha transcription factor network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2.03E-08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1.15E-11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CA9, BHLHE41, EGLN3, HK2, CP, ITGB2, SLC2A1, EDN1, ADM, CXCR4, SERPINE1, VEGFA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Glycolysis / Gluconeogenesis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3.90E-06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2.21E-09</w:t>
            </w:r>
          </w:p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HK2, PFKP, SLC2A1, FBP1, ALDOB, ALDOC, ENO2, G6PC1, PCK1, PCK2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Glucose metabolism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6.46E-05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3.66E-08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HK2, PFKP, PHKA2, FBP1, PYGL, ALDOB, ALDOC, ENO2, PCK1, PCK2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HIF-1 signaling pathway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5.40E-04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3.06E-07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CYBB, EGLN3, HK2, SLC2A1, EDN1, EGF, TIMP1, SERPINE1, ENO2, VEGFA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Pathways in clear cell renal cell carcinoma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1.34E-04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8.37E-07</w:t>
            </w: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BHLHE41, HK2, PFKP, SLC2A1, ALDOB, ALDOC, PLOD2, ENO2, VEGFA</w:t>
            </w:r>
          </w:p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PPAR signaling pathway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1.69E-04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1.15E-06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CYP4A11, HMGCS2, FABP6, FABP7, SCD, ANGPTL4, PCK1, PCK2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Metabolism of carbohydrates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2.61E-04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2.37E-06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HK2, PFKP, DCN, SLC2A1, PHKA2, FBP1, VCAN, PYGL, ALDOB, ALDOC, ENO2, G6PC1, DCXR, PCK1, PCK2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Proximal tubule transport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5.31E-04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5.12E-06</w:t>
            </w: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ATP6V1B1, SLC13A3, SLC2A1, SLC7A9, SLC22A6, SLC34A1, ATP6V0A4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Fructose and mannose metabolism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7.49E-04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7.67E-06</w:t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HK2, PFKP, FBP1, ALDOB, ALDOC</w:t>
            </w:r>
          </w:p>
        </w:tc>
      </w:tr>
      <w:tr w:rsidR="00027A41" w:rsidRPr="00E872BC" w:rsidTr="00B6392D">
        <w:tc>
          <w:tcPr>
            <w:tcW w:w="1160" w:type="dxa"/>
            <w:vMerge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Carbon metabolism</w:t>
            </w:r>
          </w:p>
        </w:tc>
        <w:tc>
          <w:tcPr>
            <w:tcW w:w="947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7.49E-04</w:t>
            </w:r>
          </w:p>
        </w:tc>
        <w:tc>
          <w:tcPr>
            <w:tcW w:w="1432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8.07E-06</w:t>
            </w: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55" w:type="dxa"/>
          </w:tcPr>
          <w:p w:rsidR="00027A41" w:rsidRPr="00E872BC" w:rsidRDefault="00027A41" w:rsidP="00B6392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72BC">
              <w:rPr>
                <w:rFonts w:ascii="Times New Roman" w:hAnsi="Times New Roman" w:cs="Times New Roman"/>
                <w:sz w:val="24"/>
                <w:szCs w:val="24"/>
              </w:rPr>
              <w:t>HK2, PFKP, FBP1, OGDHL, ALDOB, ALDOC, PCCA, ENO2, HAO2</w:t>
            </w:r>
          </w:p>
        </w:tc>
      </w:tr>
    </w:tbl>
    <w:p w:rsidR="00027A41" w:rsidRPr="007A4431" w:rsidRDefault="00027A41" w:rsidP="00027A41">
      <w:pPr>
        <w:snapToGrid w:val="0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</w:rPr>
      </w:pPr>
      <w:r w:rsidRPr="00B6392D">
        <w:rPr>
          <w:b/>
          <w:bCs/>
        </w:rPr>
        <w:t>Supplementary Figure captions</w:t>
      </w:r>
    </w:p>
    <w:p w:rsidR="00027A41" w:rsidRPr="00E872BC" w:rsidRDefault="00027A41" w:rsidP="00027A41">
      <w:pPr>
        <w:pStyle w:val="Figurecaption"/>
        <w:snapToGrid w:val="0"/>
        <w:ind w:right="26"/>
        <w:jc w:val="both"/>
      </w:pPr>
      <w:r w:rsidRPr="00B6392D">
        <w:rPr>
          <w:b/>
          <w:bCs/>
        </w:rPr>
        <w:t>Supplementary Fig. 1.</w:t>
      </w:r>
      <w:r w:rsidRPr="00B6392D">
        <w:t xml:space="preserve"> The volcano plot of the samples taken for analysis from the data12 datasets selected for this study; red dots represent upregulated genes; blue dots represent downregulated genes and black dots represent unchanged genes</w:t>
      </w:r>
    </w:p>
    <w:p w:rsidR="00027A41" w:rsidRPr="00E872BC" w:rsidRDefault="00027A41" w:rsidP="00027A41">
      <w:pPr>
        <w:pStyle w:val="Figurecaption"/>
        <w:snapToGrid w:val="0"/>
        <w:ind w:right="26"/>
        <w:jc w:val="both"/>
      </w:pPr>
      <w:bookmarkStart w:id="0" w:name="_Hlk104554820"/>
      <w:r w:rsidRPr="00B6392D">
        <w:rPr>
          <w:b/>
          <w:bCs/>
        </w:rPr>
        <w:t xml:space="preserve">Supplementary Fig. </w:t>
      </w:r>
      <w:bookmarkEnd w:id="0"/>
      <w:r w:rsidRPr="00B6392D">
        <w:rPr>
          <w:b/>
          <w:bCs/>
        </w:rPr>
        <w:t>2.</w:t>
      </w:r>
      <w:r w:rsidRPr="00B6392D">
        <w:t xml:space="preserve"> In the box plot, the DEGs were identified </w:t>
      </w:r>
      <w:r w:rsidRPr="00B6392D">
        <w:rPr>
          <w:i/>
          <w:iCs/>
        </w:rPr>
        <w:t>via</w:t>
      </w:r>
      <w:r w:rsidRPr="00B6392D">
        <w:t xml:space="preserve"> the LIMMA package with a cut</w:t>
      </w:r>
      <w:r w:rsidRPr="00B6392D">
        <w:rPr>
          <w:rFonts w:hint="eastAsia"/>
        </w:rPr>
        <w:t>‐</w:t>
      </w:r>
      <w:r w:rsidRPr="00B6392D">
        <w:t>off criterion of P &lt;0.05.</w:t>
      </w:r>
    </w:p>
    <w:p w:rsidR="00027A41" w:rsidRPr="00E872BC" w:rsidRDefault="00027A41" w:rsidP="00027A41">
      <w:pPr>
        <w:snapToGrid w:val="0"/>
        <w:rPr>
          <w:rFonts w:ascii="Times New Roman" w:hAnsi="Times New Roman"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 xml:space="preserve">Supplementary Fig. 3. </w:t>
      </w:r>
      <w:r w:rsidRPr="00E872BC">
        <w:rPr>
          <w:rFonts w:ascii="Times New Roman" w:hAnsi="Times New Roman"/>
          <w:sz w:val="24"/>
          <w:szCs w:val="24"/>
        </w:rPr>
        <w:t>Construction of common DEGs PPI network. The common DEGs network were constructed using STRING 11.5 and visualized using Cytoscape.</w:t>
      </w:r>
    </w:p>
    <w:p w:rsidR="00027A41" w:rsidRPr="00E872BC" w:rsidRDefault="00027A41" w:rsidP="00027A41">
      <w:pPr>
        <w:snapToGrid w:val="0"/>
        <w:rPr>
          <w:rFonts w:ascii="Times New Roman" w:hAnsi="Times New Roman"/>
          <w:b/>
          <w:bCs/>
          <w:sz w:val="24"/>
          <w:szCs w:val="24"/>
          <w:lang w:val="en-GB" w:eastAsia="en-GB"/>
        </w:rPr>
      </w:pPr>
      <w:r w:rsidRPr="00E872BC">
        <w:rPr>
          <w:rFonts w:ascii="Times New Roman" w:hAnsi="Times New Roman"/>
          <w:b/>
          <w:bCs/>
          <w:sz w:val="24"/>
          <w:szCs w:val="24"/>
          <w:lang w:val="en-GB" w:eastAsia="en-GB"/>
        </w:rPr>
        <w:t>Supplementary Fig. 4.</w:t>
      </w:r>
      <w:r w:rsidRPr="00E872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72BC">
        <w:rPr>
          <w:rFonts w:ascii="Times New Roman" w:hAnsi="Times New Roman"/>
          <w:sz w:val="24"/>
          <w:szCs w:val="24"/>
        </w:rPr>
        <w:t>Centrality analysis of common DEGs. Density distribution degree centrality (a), betweenness centrality (b), and closeness centrality (c).</w:t>
      </w:r>
    </w:p>
    <w:p w:rsidR="00027A41" w:rsidRPr="00E872BC" w:rsidRDefault="00027A41" w:rsidP="00027A41">
      <w:pPr>
        <w:snapToGrid w:val="0"/>
        <w:rPr>
          <w:rFonts w:ascii="Times New Roman" w:hAnsi="Times New Roman"/>
          <w:sz w:val="24"/>
          <w:szCs w:val="24"/>
        </w:rPr>
      </w:pPr>
      <w:r w:rsidRPr="007A443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7A96E2" wp14:editId="74FB326B">
            <wp:simplePos x="0" y="0"/>
            <wp:positionH relativeFrom="column">
              <wp:posOffset>177800</wp:posOffset>
            </wp:positionH>
            <wp:positionV relativeFrom="paragraph">
              <wp:posOffset>977900</wp:posOffset>
            </wp:positionV>
            <wp:extent cx="5731510" cy="2437130"/>
            <wp:effectExtent l="0" t="0" r="2540" b="127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431">
        <w:rPr>
          <w:rFonts w:ascii="Times New Roman" w:hAnsi="Times New Roman"/>
          <w:b/>
          <w:bCs/>
          <w:sz w:val="24"/>
          <w:szCs w:val="24"/>
          <w:lang w:val="en-GB" w:eastAsia="en-GB"/>
        </w:rPr>
        <w:t>Supplementary Fig. 5.</w:t>
      </w:r>
      <w:r w:rsidRPr="007A674B">
        <w:rPr>
          <w:rFonts w:ascii="Times New Roman" w:hAnsi="Times New Roman"/>
          <w:sz w:val="24"/>
          <w:szCs w:val="24"/>
        </w:rPr>
        <w:t xml:space="preserve"> Correlations among centrality parameters. Degree vs betweenness (a), degree vs closenes</w:t>
      </w:r>
      <w:r w:rsidRPr="00E872BC">
        <w:rPr>
          <w:rFonts w:ascii="Times New Roman" w:hAnsi="Times New Roman"/>
          <w:sz w:val="24"/>
          <w:szCs w:val="24"/>
        </w:rPr>
        <w:t>s(b), betweenness vs closeness (c).</w:t>
      </w: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fig. 1</w:t>
      </w: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7A4431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A443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CA164D" wp14:editId="5AC6634F">
            <wp:simplePos x="0" y="0"/>
            <wp:positionH relativeFrom="column">
              <wp:posOffset>47625</wp:posOffset>
            </wp:positionH>
            <wp:positionV relativeFrom="paragraph">
              <wp:posOffset>205740</wp:posOffset>
            </wp:positionV>
            <wp:extent cx="5731510" cy="3676650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figure 2</w:t>
      </w:r>
    </w:p>
    <w:p w:rsidR="00027A41" w:rsidRPr="00E872BC" w:rsidRDefault="00027A41" w:rsidP="00027A41">
      <w:pPr>
        <w:pStyle w:val="Figurecaption"/>
        <w:snapToGrid w:val="0"/>
        <w:ind w:right="26"/>
        <w:jc w:val="center"/>
        <w:rPr>
          <w:b/>
          <w:bCs/>
          <w:color w:val="000000" w:themeColor="text1"/>
        </w:rPr>
      </w:pPr>
    </w:p>
    <w:p w:rsidR="00027A41" w:rsidRPr="00E872BC" w:rsidRDefault="00027A41" w:rsidP="00027A41">
      <w:pPr>
        <w:snapToGrid w:val="0"/>
        <w:rPr>
          <w:rFonts w:ascii="Times New Roman" w:hAnsi="Times New Roman"/>
          <w:sz w:val="24"/>
          <w:szCs w:val="24"/>
          <w:lang w:val="en-GB" w:eastAsia="en-GB"/>
        </w:rPr>
      </w:pPr>
    </w:p>
    <w:p w:rsidR="00027A41" w:rsidRPr="00E872BC" w:rsidRDefault="00027A41" w:rsidP="00027A41">
      <w:pPr>
        <w:pStyle w:val="Figurecaption"/>
        <w:snapToGrid w:val="0"/>
        <w:ind w:right="26"/>
        <w:jc w:val="both"/>
        <w:rPr>
          <w:b/>
          <w:bCs/>
          <w:color w:val="000000" w:themeColor="text1"/>
        </w:rPr>
      </w:pPr>
    </w:p>
    <w:p w:rsidR="00027A41" w:rsidRPr="007A4431" w:rsidRDefault="00027A41" w:rsidP="00027A41">
      <w:pPr>
        <w:snapToGrid w:val="0"/>
        <w:rPr>
          <w:rFonts w:ascii="Times New Roman" w:hAnsi="Times New Roman"/>
          <w:sz w:val="24"/>
          <w:szCs w:val="24"/>
        </w:rPr>
      </w:pPr>
      <w:r w:rsidRPr="007A443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7DCB7A7" wp14:editId="397E2F00">
            <wp:simplePos x="0" y="0"/>
            <wp:positionH relativeFrom="column">
              <wp:posOffset>85725</wp:posOffset>
            </wp:positionH>
            <wp:positionV relativeFrom="paragraph">
              <wp:posOffset>0</wp:posOffset>
            </wp:positionV>
            <wp:extent cx="5731510" cy="5078095"/>
            <wp:effectExtent l="0" t="0" r="2540" b="825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fig. 3</w:t>
      </w: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7A4431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  <w:r w:rsidRPr="007A443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8DDE8B8" wp14:editId="3435ACE4">
            <wp:simplePos x="0" y="0"/>
            <wp:positionH relativeFrom="column">
              <wp:posOffset>257175</wp:posOffset>
            </wp:positionH>
            <wp:positionV relativeFrom="paragraph">
              <wp:posOffset>392430</wp:posOffset>
            </wp:positionV>
            <wp:extent cx="5397500" cy="433324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872BC">
        <w:rPr>
          <w:rFonts w:ascii="Times New Roman" w:hAnsi="Times New Roman"/>
          <w:b/>
          <w:bCs/>
          <w:sz w:val="24"/>
          <w:szCs w:val="24"/>
        </w:rPr>
        <w:t>Supplementary fig. 4</w:t>
      </w: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E872B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7A41" w:rsidRPr="00810C7C" w:rsidRDefault="00027A41" w:rsidP="00027A41">
      <w:pPr>
        <w:tabs>
          <w:tab w:val="left" w:pos="1420"/>
        </w:tabs>
        <w:snapToGri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7A4431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A367CB3" wp14:editId="675A98A5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5731510" cy="3538855"/>
            <wp:effectExtent l="0" t="0" r="2540" b="444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431">
        <w:rPr>
          <w:rFonts w:ascii="Times New Roman" w:hAnsi="Times New Roman"/>
          <w:b/>
          <w:bCs/>
          <w:sz w:val="24"/>
          <w:szCs w:val="24"/>
        </w:rPr>
        <w:t>Supplementary fig</w:t>
      </w:r>
      <w:r w:rsidRPr="007A674B">
        <w:rPr>
          <w:rFonts w:ascii="Times New Roman" w:hAnsi="Times New Roman"/>
          <w:b/>
          <w:bCs/>
          <w:sz w:val="24"/>
          <w:szCs w:val="24"/>
        </w:rPr>
        <w:t>.</w:t>
      </w:r>
      <w:r w:rsidRPr="00486314">
        <w:rPr>
          <w:rFonts w:ascii="Times New Roman" w:hAnsi="Times New Roman"/>
          <w:b/>
          <w:bCs/>
          <w:sz w:val="24"/>
          <w:szCs w:val="24"/>
        </w:rPr>
        <w:t xml:space="preserve"> 5</w:t>
      </w:r>
    </w:p>
    <w:p w:rsidR="00027A41" w:rsidRPr="00E872BC" w:rsidRDefault="00027A41" w:rsidP="00027A41">
      <w:pPr>
        <w:tabs>
          <w:tab w:val="left" w:pos="1420"/>
        </w:tabs>
        <w:snapToGrid w:val="0"/>
        <w:rPr>
          <w:rFonts w:ascii="Times New Roman" w:hAnsi="Times New Roman"/>
          <w:sz w:val="24"/>
          <w:szCs w:val="24"/>
        </w:rPr>
      </w:pPr>
    </w:p>
    <w:p w:rsidR="00027A41" w:rsidRPr="00E872BC" w:rsidRDefault="00027A41" w:rsidP="00027A41">
      <w:pPr>
        <w:snapToGrid w:val="0"/>
        <w:rPr>
          <w:rFonts w:ascii="Times New Roman" w:hAnsi="Times New Roman"/>
          <w:noProof/>
          <w:sz w:val="24"/>
          <w:szCs w:val="24"/>
        </w:rPr>
      </w:pPr>
    </w:p>
    <w:p w:rsidR="000E5A08" w:rsidRDefault="000E5A08">
      <w:bookmarkStart w:id="1" w:name="_GoBack"/>
      <w:bookmarkEnd w:id="1"/>
    </w:p>
    <w:sectPr w:rsidR="000E5A08" w:rsidSect="00B6392D">
      <w:footerReference w:type="default" r:id="rId10"/>
      <w:pgSz w:w="11906" w:h="16838" w:code="9"/>
      <w:pgMar w:top="1134" w:right="1134" w:bottom="1134" w:left="1134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1584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1B65" w:rsidRDefault="00027A41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11B65" w:rsidRDefault="00027A41">
    <w:pPr>
      <w:pStyle w:val="a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A41"/>
    <w:rsid w:val="00027A41"/>
    <w:rsid w:val="000E5A08"/>
    <w:rsid w:val="0036424D"/>
    <w:rsid w:val="00C81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标题"/>
    <w:basedOn w:val="a"/>
    <w:link w:val="a4"/>
    <w:qFormat/>
    <w:rsid w:val="00C812A0"/>
    <w:rPr>
      <w:rFonts w:ascii="Times New Roman" w:eastAsia="Times New Roman" w:hAnsi="Times New Roman"/>
      <w:kern w:val="2"/>
      <w:sz w:val="24"/>
      <w:szCs w:val="22"/>
    </w:rPr>
  </w:style>
  <w:style w:type="character" w:customStyle="1" w:styleId="a4">
    <w:name w:val="大标题 字符"/>
    <w:link w:val="a3"/>
    <w:rsid w:val="00C812A0"/>
    <w:rPr>
      <w:rFonts w:ascii="Times New Roman" w:eastAsia="Times New Roman" w:hAnsi="Times New Roman"/>
      <w:kern w:val="2"/>
      <w:sz w:val="24"/>
      <w:szCs w:val="22"/>
    </w:rPr>
  </w:style>
  <w:style w:type="paragraph" w:customStyle="1" w:styleId="1">
    <w:name w:val="正文1"/>
    <w:basedOn w:val="a3"/>
    <w:link w:val="10"/>
    <w:qFormat/>
    <w:rsid w:val="00C812A0"/>
    <w:pPr>
      <w:adjustRightInd w:val="0"/>
      <w:snapToGrid w:val="0"/>
      <w:ind w:firstLineChars="200" w:firstLine="200"/>
    </w:pPr>
    <w:rPr>
      <w:sz w:val="20"/>
      <w:lang w:val="en-AU"/>
    </w:rPr>
  </w:style>
  <w:style w:type="character" w:customStyle="1" w:styleId="10">
    <w:name w:val="正文1 字符"/>
    <w:link w:val="1"/>
    <w:rsid w:val="00C812A0"/>
    <w:rPr>
      <w:rFonts w:ascii="Times New Roman" w:eastAsia="Times New Roman" w:hAnsi="Times New Roman"/>
      <w:kern w:val="2"/>
      <w:szCs w:val="22"/>
      <w:lang w:val="en-AU"/>
    </w:rPr>
  </w:style>
  <w:style w:type="paragraph" w:customStyle="1" w:styleId="Figurecaption">
    <w:name w:val="Figure caption"/>
    <w:basedOn w:val="a"/>
    <w:next w:val="a"/>
    <w:qFormat/>
    <w:rsid w:val="00027A41"/>
    <w:pPr>
      <w:widowControl/>
      <w:spacing w:before="240" w:line="36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a5">
    <w:name w:val="footer"/>
    <w:basedOn w:val="a"/>
    <w:link w:val="Char"/>
    <w:uiPriority w:val="99"/>
    <w:unhideWhenUsed/>
    <w:rsid w:val="00027A41"/>
    <w:pPr>
      <w:widowControl/>
      <w:tabs>
        <w:tab w:val="center" w:pos="4513"/>
        <w:tab w:val="right" w:pos="9026"/>
      </w:tabs>
      <w:jc w:val="left"/>
    </w:pPr>
    <w:rPr>
      <w:rFonts w:asciiTheme="minorHAnsi" w:eastAsiaTheme="minorEastAsia" w:hAnsiTheme="minorHAnsi" w:cstheme="minorBidi"/>
      <w:sz w:val="22"/>
      <w:szCs w:val="22"/>
      <w:lang w:val="en-IN" w:eastAsia="en-US"/>
    </w:rPr>
  </w:style>
  <w:style w:type="character" w:customStyle="1" w:styleId="Char">
    <w:name w:val="页脚 Char"/>
    <w:basedOn w:val="a0"/>
    <w:link w:val="a5"/>
    <w:uiPriority w:val="99"/>
    <w:rsid w:val="00027A41"/>
    <w:rPr>
      <w:rFonts w:asciiTheme="minorHAnsi" w:eastAsiaTheme="minorEastAsia" w:hAnsiTheme="minorHAnsi" w:cstheme="minorBidi"/>
      <w:sz w:val="22"/>
      <w:szCs w:val="22"/>
      <w:lang w:val="en-IN" w:eastAsia="en-US"/>
    </w:rPr>
  </w:style>
  <w:style w:type="table" w:styleId="a6">
    <w:name w:val="Table Grid"/>
    <w:basedOn w:val="a1"/>
    <w:uiPriority w:val="39"/>
    <w:rsid w:val="00027A41"/>
    <w:rPr>
      <w:rFonts w:asciiTheme="minorHAnsi" w:eastAsiaTheme="minorEastAsia" w:hAnsiTheme="minorHAnsi" w:cstheme="minorBidi"/>
      <w:sz w:val="22"/>
      <w:szCs w:val="22"/>
      <w:lang w:val="en-IN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a"/>
    <w:next w:val="a"/>
    <w:qFormat/>
    <w:rsid w:val="00027A41"/>
    <w:pPr>
      <w:widowControl/>
      <w:spacing w:before="240" w:line="36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a7">
    <w:name w:val="line number"/>
    <w:basedOn w:val="a0"/>
    <w:uiPriority w:val="99"/>
    <w:semiHidden/>
    <w:unhideWhenUsed/>
    <w:rsid w:val="00027A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标题"/>
    <w:basedOn w:val="a"/>
    <w:link w:val="a4"/>
    <w:qFormat/>
    <w:rsid w:val="00C812A0"/>
    <w:rPr>
      <w:rFonts w:ascii="Times New Roman" w:eastAsia="Times New Roman" w:hAnsi="Times New Roman"/>
      <w:kern w:val="2"/>
      <w:sz w:val="24"/>
      <w:szCs w:val="22"/>
    </w:rPr>
  </w:style>
  <w:style w:type="character" w:customStyle="1" w:styleId="a4">
    <w:name w:val="大标题 字符"/>
    <w:link w:val="a3"/>
    <w:rsid w:val="00C812A0"/>
    <w:rPr>
      <w:rFonts w:ascii="Times New Roman" w:eastAsia="Times New Roman" w:hAnsi="Times New Roman"/>
      <w:kern w:val="2"/>
      <w:sz w:val="24"/>
      <w:szCs w:val="22"/>
    </w:rPr>
  </w:style>
  <w:style w:type="paragraph" w:customStyle="1" w:styleId="1">
    <w:name w:val="正文1"/>
    <w:basedOn w:val="a3"/>
    <w:link w:val="10"/>
    <w:qFormat/>
    <w:rsid w:val="00C812A0"/>
    <w:pPr>
      <w:adjustRightInd w:val="0"/>
      <w:snapToGrid w:val="0"/>
      <w:ind w:firstLineChars="200" w:firstLine="200"/>
    </w:pPr>
    <w:rPr>
      <w:sz w:val="20"/>
      <w:lang w:val="en-AU"/>
    </w:rPr>
  </w:style>
  <w:style w:type="character" w:customStyle="1" w:styleId="10">
    <w:name w:val="正文1 字符"/>
    <w:link w:val="1"/>
    <w:rsid w:val="00C812A0"/>
    <w:rPr>
      <w:rFonts w:ascii="Times New Roman" w:eastAsia="Times New Roman" w:hAnsi="Times New Roman"/>
      <w:kern w:val="2"/>
      <w:szCs w:val="22"/>
      <w:lang w:val="en-AU"/>
    </w:rPr>
  </w:style>
  <w:style w:type="paragraph" w:customStyle="1" w:styleId="Figurecaption">
    <w:name w:val="Figure caption"/>
    <w:basedOn w:val="a"/>
    <w:next w:val="a"/>
    <w:qFormat/>
    <w:rsid w:val="00027A41"/>
    <w:pPr>
      <w:widowControl/>
      <w:spacing w:before="240" w:line="36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a5">
    <w:name w:val="footer"/>
    <w:basedOn w:val="a"/>
    <w:link w:val="Char"/>
    <w:uiPriority w:val="99"/>
    <w:unhideWhenUsed/>
    <w:rsid w:val="00027A41"/>
    <w:pPr>
      <w:widowControl/>
      <w:tabs>
        <w:tab w:val="center" w:pos="4513"/>
        <w:tab w:val="right" w:pos="9026"/>
      </w:tabs>
      <w:jc w:val="left"/>
    </w:pPr>
    <w:rPr>
      <w:rFonts w:asciiTheme="minorHAnsi" w:eastAsiaTheme="minorEastAsia" w:hAnsiTheme="minorHAnsi" w:cstheme="minorBidi"/>
      <w:sz w:val="22"/>
      <w:szCs w:val="22"/>
      <w:lang w:val="en-IN" w:eastAsia="en-US"/>
    </w:rPr>
  </w:style>
  <w:style w:type="character" w:customStyle="1" w:styleId="Char">
    <w:name w:val="页脚 Char"/>
    <w:basedOn w:val="a0"/>
    <w:link w:val="a5"/>
    <w:uiPriority w:val="99"/>
    <w:rsid w:val="00027A41"/>
    <w:rPr>
      <w:rFonts w:asciiTheme="minorHAnsi" w:eastAsiaTheme="minorEastAsia" w:hAnsiTheme="minorHAnsi" w:cstheme="minorBidi"/>
      <w:sz w:val="22"/>
      <w:szCs w:val="22"/>
      <w:lang w:val="en-IN" w:eastAsia="en-US"/>
    </w:rPr>
  </w:style>
  <w:style w:type="table" w:styleId="a6">
    <w:name w:val="Table Grid"/>
    <w:basedOn w:val="a1"/>
    <w:uiPriority w:val="39"/>
    <w:rsid w:val="00027A41"/>
    <w:rPr>
      <w:rFonts w:asciiTheme="minorHAnsi" w:eastAsiaTheme="minorEastAsia" w:hAnsiTheme="minorHAnsi" w:cstheme="minorBidi"/>
      <w:sz w:val="22"/>
      <w:szCs w:val="22"/>
      <w:lang w:val="en-IN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a"/>
    <w:next w:val="a"/>
    <w:qFormat/>
    <w:rsid w:val="00027A41"/>
    <w:pPr>
      <w:widowControl/>
      <w:spacing w:before="240" w:line="360" w:lineRule="auto"/>
      <w:jc w:val="left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a7">
    <w:name w:val="line number"/>
    <w:basedOn w:val="a0"/>
    <w:uiPriority w:val="99"/>
    <w:semiHidden/>
    <w:unhideWhenUsed/>
    <w:rsid w:val="00027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1439</Words>
  <Characters>8203</Characters>
  <Application>Microsoft Office Word</Application>
  <DocSecurity>0</DocSecurity>
  <Lines>68</Lines>
  <Paragraphs>19</Paragraphs>
  <ScaleCrop>false</ScaleCrop>
  <Company/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2024-01-30T05:39:00Z</dcterms:created>
  <dcterms:modified xsi:type="dcterms:W3CDTF">2024-01-30T05:40:00Z</dcterms:modified>
</cp:coreProperties>
</file>