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7722A" w14:textId="77777777" w:rsidR="00243DBD" w:rsidRDefault="00243DBD" w:rsidP="00243DBD">
      <w:pPr>
        <w:pStyle w:val="MDPI41tablecaption"/>
        <w:ind w:left="0"/>
        <w:jc w:val="center"/>
      </w:pPr>
      <w:r>
        <w:rPr>
          <w:b/>
        </w:rPr>
        <w:t>Table S1.</w:t>
      </w:r>
      <w:r>
        <w:t xml:space="preserve"> Univariate Cox analysis for OS of inflammation-related factors in </w:t>
      </w:r>
      <w:r>
        <w:rPr>
          <w:szCs w:val="18"/>
        </w:rPr>
        <w:t>ENKTCL</w:t>
      </w:r>
      <w:r>
        <w:t>.</w:t>
      </w:r>
    </w:p>
    <w:tbl>
      <w:tblPr>
        <w:tblStyle w:val="a6"/>
        <w:tblW w:w="835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2693"/>
        <w:gridCol w:w="1276"/>
      </w:tblGrid>
      <w:tr w:rsidR="00243DBD" w14:paraId="0B2D2E74" w14:textId="77777777" w:rsidTr="00097E84">
        <w:trPr>
          <w:jc w:val="center"/>
        </w:trPr>
        <w:tc>
          <w:tcPr>
            <w:tcW w:w="1555" w:type="dxa"/>
            <w:tcBorders>
              <w:top w:val="single" w:sz="12" w:space="0" w:color="auto"/>
              <w:bottom w:val="single" w:sz="8" w:space="0" w:color="auto"/>
            </w:tcBorders>
          </w:tcPr>
          <w:p w14:paraId="64A38056" w14:textId="77777777" w:rsidR="00243DBD" w:rsidRDefault="00243DBD" w:rsidP="00097E84">
            <w:pPr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</w:tcPr>
          <w:p w14:paraId="6F7F3D3A" w14:textId="77777777" w:rsidR="00243DBD" w:rsidRDefault="00243DBD" w:rsidP="00097E8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C</w:t>
            </w:r>
            <w:r>
              <w:rPr>
                <w:rFonts w:hint="eastAsia"/>
                <w:b/>
                <w:snapToGrid/>
              </w:rPr>
              <w:t>ut</w:t>
            </w:r>
            <w:r>
              <w:rPr>
                <w:b/>
                <w:snapToGrid/>
              </w:rPr>
              <w:t xml:space="preserve"> point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14:paraId="7F5CE00A" w14:textId="77777777" w:rsidR="00243DBD" w:rsidRDefault="00243DBD" w:rsidP="00097E8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Statistic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</w:tcPr>
          <w:p w14:paraId="290BD725" w14:textId="77777777" w:rsidR="00243DBD" w:rsidRDefault="00243DBD" w:rsidP="00097E8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b/>
                <w:snapToGrid/>
              </w:rPr>
              <w:t>HR (95%CI)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</w:tcPr>
          <w:p w14:paraId="4649757E" w14:textId="77777777" w:rsidR="00243DBD" w:rsidRDefault="00243DBD" w:rsidP="00097E84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E00D07">
              <w:rPr>
                <w:rFonts w:hint="eastAsia"/>
                <w:b/>
                <w:i/>
                <w:iCs/>
                <w:snapToGrid/>
              </w:rPr>
              <w:t>P</w:t>
            </w:r>
            <w:r>
              <w:rPr>
                <w:b/>
                <w:snapToGrid/>
              </w:rPr>
              <w:t xml:space="preserve"> value</w:t>
            </w:r>
          </w:p>
        </w:tc>
      </w:tr>
      <w:tr w:rsidR="00243DBD" w14:paraId="3FBCA663" w14:textId="77777777" w:rsidTr="00097E84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5F5BDD26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A</w:t>
            </w:r>
            <w:r>
              <w:t>lbumin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623FDFCE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</w:t>
            </w:r>
            <w:r>
              <w:t>7.3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779DC58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4.097246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2906F523" w14:textId="77777777" w:rsidR="00243DBD" w:rsidRDefault="00243DBD" w:rsidP="00097E84">
            <w:pPr>
              <w:pStyle w:val="MDPI42tablebody"/>
              <w:spacing w:line="240" w:lineRule="auto"/>
            </w:pPr>
            <w:r>
              <w:t>0.392(0.254-0.605)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AF6F90A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243DBD" w14:paraId="4584EF6D" w14:textId="77777777" w:rsidTr="00097E84">
        <w:trPr>
          <w:jc w:val="center"/>
        </w:trPr>
        <w:tc>
          <w:tcPr>
            <w:tcW w:w="1555" w:type="dxa"/>
          </w:tcPr>
          <w:p w14:paraId="4347EED1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M</w:t>
            </w:r>
            <w:r>
              <w:t>onocyte</w:t>
            </w:r>
          </w:p>
        </w:tc>
        <w:tc>
          <w:tcPr>
            <w:tcW w:w="1417" w:type="dxa"/>
          </w:tcPr>
          <w:p w14:paraId="39A1B360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.64</w:t>
            </w:r>
          </w:p>
        </w:tc>
        <w:tc>
          <w:tcPr>
            <w:tcW w:w="1418" w:type="dxa"/>
          </w:tcPr>
          <w:p w14:paraId="0B6B2F7D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.944092</w:t>
            </w:r>
          </w:p>
        </w:tc>
        <w:tc>
          <w:tcPr>
            <w:tcW w:w="2693" w:type="dxa"/>
          </w:tcPr>
          <w:p w14:paraId="2A097812" w14:textId="77777777" w:rsidR="00243DBD" w:rsidRDefault="00243DBD" w:rsidP="00097E84">
            <w:pPr>
              <w:pStyle w:val="MDPI42tablebody"/>
              <w:spacing w:line="240" w:lineRule="auto"/>
            </w:pPr>
            <w:r>
              <w:t>1.613(0.966-2.692)</w:t>
            </w:r>
          </w:p>
        </w:tc>
        <w:tc>
          <w:tcPr>
            <w:tcW w:w="1276" w:type="dxa"/>
          </w:tcPr>
          <w:p w14:paraId="48502414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.068</w:t>
            </w:r>
          </w:p>
        </w:tc>
      </w:tr>
      <w:tr w:rsidR="00243DBD" w14:paraId="10FE64AC" w14:textId="77777777" w:rsidTr="00097E84">
        <w:trPr>
          <w:jc w:val="center"/>
        </w:trPr>
        <w:tc>
          <w:tcPr>
            <w:tcW w:w="1555" w:type="dxa"/>
          </w:tcPr>
          <w:p w14:paraId="17E21279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L</w:t>
            </w:r>
            <w:r>
              <w:t>ymphocyte</w:t>
            </w:r>
          </w:p>
        </w:tc>
        <w:tc>
          <w:tcPr>
            <w:tcW w:w="1417" w:type="dxa"/>
          </w:tcPr>
          <w:p w14:paraId="56EB78AF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.41</w:t>
            </w:r>
          </w:p>
        </w:tc>
        <w:tc>
          <w:tcPr>
            <w:tcW w:w="1418" w:type="dxa"/>
          </w:tcPr>
          <w:p w14:paraId="2281AB6A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</w:t>
            </w:r>
            <w:r>
              <w:t>.340931</w:t>
            </w:r>
          </w:p>
        </w:tc>
        <w:tc>
          <w:tcPr>
            <w:tcW w:w="2693" w:type="dxa"/>
          </w:tcPr>
          <w:p w14:paraId="6399D32E" w14:textId="77777777" w:rsidR="00243DBD" w:rsidRDefault="00243DBD" w:rsidP="00097E84">
            <w:pPr>
              <w:pStyle w:val="MDPI42tablebody"/>
              <w:spacing w:line="240" w:lineRule="auto"/>
            </w:pPr>
            <w:r>
              <w:t>0.531(0.347-0.812)</w:t>
            </w:r>
          </w:p>
        </w:tc>
        <w:tc>
          <w:tcPr>
            <w:tcW w:w="1276" w:type="dxa"/>
          </w:tcPr>
          <w:p w14:paraId="1F47651A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.003</w:t>
            </w:r>
          </w:p>
        </w:tc>
      </w:tr>
      <w:tr w:rsidR="00243DBD" w14:paraId="7A8D4131" w14:textId="77777777" w:rsidTr="00097E84">
        <w:trPr>
          <w:jc w:val="center"/>
        </w:trPr>
        <w:tc>
          <w:tcPr>
            <w:tcW w:w="1555" w:type="dxa"/>
          </w:tcPr>
          <w:p w14:paraId="0A68E63E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P</w:t>
            </w:r>
            <w:r>
              <w:t>latelet</w:t>
            </w:r>
          </w:p>
        </w:tc>
        <w:tc>
          <w:tcPr>
            <w:tcW w:w="1417" w:type="dxa"/>
          </w:tcPr>
          <w:p w14:paraId="75557E22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44</w:t>
            </w:r>
          </w:p>
        </w:tc>
        <w:tc>
          <w:tcPr>
            <w:tcW w:w="1418" w:type="dxa"/>
          </w:tcPr>
          <w:p w14:paraId="6BD4E598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2</w:t>
            </w:r>
            <w:r>
              <w:t>.172362</w:t>
            </w:r>
          </w:p>
        </w:tc>
        <w:tc>
          <w:tcPr>
            <w:tcW w:w="2693" w:type="dxa"/>
          </w:tcPr>
          <w:p w14:paraId="6178F32D" w14:textId="77777777" w:rsidR="00243DBD" w:rsidRDefault="00243DBD" w:rsidP="00097E84">
            <w:pPr>
              <w:pStyle w:val="MDPI42tablebody"/>
              <w:spacing w:line="240" w:lineRule="auto"/>
            </w:pPr>
            <w:r>
              <w:t>0.531(0.303-0.929)</w:t>
            </w:r>
          </w:p>
        </w:tc>
        <w:tc>
          <w:tcPr>
            <w:tcW w:w="1276" w:type="dxa"/>
          </w:tcPr>
          <w:p w14:paraId="7815E208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.027</w:t>
            </w:r>
          </w:p>
        </w:tc>
      </w:tr>
      <w:tr w:rsidR="00243DBD" w14:paraId="431F8271" w14:textId="77777777" w:rsidTr="00097E84">
        <w:trPr>
          <w:jc w:val="center"/>
        </w:trPr>
        <w:tc>
          <w:tcPr>
            <w:tcW w:w="1555" w:type="dxa"/>
          </w:tcPr>
          <w:p w14:paraId="180AF169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N</w:t>
            </w:r>
            <w:r>
              <w:t>LR</w:t>
            </w:r>
          </w:p>
        </w:tc>
        <w:tc>
          <w:tcPr>
            <w:tcW w:w="1417" w:type="dxa"/>
          </w:tcPr>
          <w:p w14:paraId="76DBFF51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1.065693</w:t>
            </w:r>
          </w:p>
        </w:tc>
        <w:tc>
          <w:tcPr>
            <w:tcW w:w="1418" w:type="dxa"/>
          </w:tcPr>
          <w:p w14:paraId="70DEACC6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.299225</w:t>
            </w:r>
          </w:p>
        </w:tc>
        <w:tc>
          <w:tcPr>
            <w:tcW w:w="2693" w:type="dxa"/>
          </w:tcPr>
          <w:p w14:paraId="29972CEE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.734(0.414-1.301</w:t>
            </w:r>
          </w:p>
        </w:tc>
        <w:tc>
          <w:tcPr>
            <w:tcW w:w="1276" w:type="dxa"/>
          </w:tcPr>
          <w:p w14:paraId="27A369D3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.290</w:t>
            </w:r>
          </w:p>
        </w:tc>
      </w:tr>
      <w:tr w:rsidR="00243DBD" w14:paraId="1412D1CB" w14:textId="77777777" w:rsidTr="00097E84">
        <w:trPr>
          <w:jc w:val="center"/>
        </w:trPr>
        <w:tc>
          <w:tcPr>
            <w:tcW w:w="1555" w:type="dxa"/>
          </w:tcPr>
          <w:p w14:paraId="2ADC0B22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proofErr w:type="spellStart"/>
            <w:r>
              <w:rPr>
                <w:rFonts w:hint="eastAsia"/>
              </w:rPr>
              <w:t>d</w:t>
            </w:r>
            <w:r>
              <w:t>NLR</w:t>
            </w:r>
            <w:proofErr w:type="spellEnd"/>
          </w:p>
        </w:tc>
        <w:tc>
          <w:tcPr>
            <w:tcW w:w="1417" w:type="dxa"/>
          </w:tcPr>
          <w:p w14:paraId="56A3E846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2.545455</w:t>
            </w:r>
          </w:p>
        </w:tc>
        <w:tc>
          <w:tcPr>
            <w:tcW w:w="1418" w:type="dxa"/>
          </w:tcPr>
          <w:p w14:paraId="6912A5DC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1.309414</w:t>
            </w:r>
          </w:p>
        </w:tc>
        <w:tc>
          <w:tcPr>
            <w:tcW w:w="2693" w:type="dxa"/>
          </w:tcPr>
          <w:p w14:paraId="0B71E05C" w14:textId="77777777" w:rsidR="00243DBD" w:rsidRDefault="00243DBD" w:rsidP="00097E84">
            <w:pPr>
              <w:pStyle w:val="MDPI42tablebody"/>
              <w:spacing w:line="240" w:lineRule="auto"/>
            </w:pPr>
            <w:r>
              <w:t>1.368(0.794-2.356)</w:t>
            </w:r>
          </w:p>
        </w:tc>
        <w:tc>
          <w:tcPr>
            <w:tcW w:w="1276" w:type="dxa"/>
          </w:tcPr>
          <w:p w14:paraId="2AB8F16E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.259</w:t>
            </w:r>
          </w:p>
        </w:tc>
      </w:tr>
      <w:tr w:rsidR="00243DBD" w14:paraId="7552C517" w14:textId="77777777" w:rsidTr="00097E84">
        <w:trPr>
          <w:jc w:val="center"/>
        </w:trPr>
        <w:tc>
          <w:tcPr>
            <w:tcW w:w="1555" w:type="dxa"/>
          </w:tcPr>
          <w:p w14:paraId="31072181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P</w:t>
            </w:r>
            <w:r>
              <w:t>LR</w:t>
            </w:r>
          </w:p>
        </w:tc>
        <w:tc>
          <w:tcPr>
            <w:tcW w:w="1417" w:type="dxa"/>
          </w:tcPr>
          <w:p w14:paraId="799D13A6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156.3758</w:t>
            </w:r>
          </w:p>
        </w:tc>
        <w:tc>
          <w:tcPr>
            <w:tcW w:w="1418" w:type="dxa"/>
          </w:tcPr>
          <w:p w14:paraId="1A07B394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.884168</w:t>
            </w:r>
          </w:p>
        </w:tc>
        <w:tc>
          <w:tcPr>
            <w:tcW w:w="2693" w:type="dxa"/>
          </w:tcPr>
          <w:p w14:paraId="3480FA60" w14:textId="77777777" w:rsidR="00243DBD" w:rsidRDefault="00243DBD" w:rsidP="00097E84">
            <w:pPr>
              <w:pStyle w:val="MDPI42tablebody"/>
              <w:spacing w:line="240" w:lineRule="auto"/>
            </w:pPr>
            <w:r>
              <w:t>1.448(0.947-2.214)</w:t>
            </w:r>
          </w:p>
        </w:tc>
        <w:tc>
          <w:tcPr>
            <w:tcW w:w="1276" w:type="dxa"/>
          </w:tcPr>
          <w:p w14:paraId="531204E6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.087</w:t>
            </w:r>
          </w:p>
        </w:tc>
      </w:tr>
      <w:tr w:rsidR="00243DBD" w14:paraId="0BB20D3C" w14:textId="77777777" w:rsidTr="00097E84">
        <w:trPr>
          <w:jc w:val="center"/>
        </w:trPr>
        <w:tc>
          <w:tcPr>
            <w:tcW w:w="1555" w:type="dxa"/>
          </w:tcPr>
          <w:p w14:paraId="036005E2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L</w:t>
            </w:r>
            <w:r>
              <w:t>MR</w:t>
            </w:r>
          </w:p>
        </w:tc>
        <w:tc>
          <w:tcPr>
            <w:tcW w:w="1417" w:type="dxa"/>
          </w:tcPr>
          <w:p w14:paraId="15CE72C4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3.909091</w:t>
            </w:r>
          </w:p>
        </w:tc>
        <w:tc>
          <w:tcPr>
            <w:tcW w:w="1418" w:type="dxa"/>
          </w:tcPr>
          <w:p w14:paraId="2C157D81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</w:t>
            </w:r>
            <w:r>
              <w:t>.479470</w:t>
            </w:r>
          </w:p>
        </w:tc>
        <w:tc>
          <w:tcPr>
            <w:tcW w:w="2693" w:type="dxa"/>
          </w:tcPr>
          <w:p w14:paraId="4F7C8F76" w14:textId="77777777" w:rsidR="00243DBD" w:rsidRDefault="00243DBD" w:rsidP="00097E84">
            <w:pPr>
              <w:pStyle w:val="MDPI42tablebody"/>
              <w:spacing w:line="240" w:lineRule="auto"/>
            </w:pPr>
            <w:r>
              <w:t>0.477(0.302-0.754)</w:t>
            </w:r>
          </w:p>
        </w:tc>
        <w:tc>
          <w:tcPr>
            <w:tcW w:w="1276" w:type="dxa"/>
          </w:tcPr>
          <w:p w14:paraId="78987449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.002</w:t>
            </w:r>
          </w:p>
        </w:tc>
      </w:tr>
      <w:tr w:rsidR="00243DBD" w14:paraId="53BBFBAA" w14:textId="77777777" w:rsidTr="00097E84">
        <w:trPr>
          <w:jc w:val="center"/>
        </w:trPr>
        <w:tc>
          <w:tcPr>
            <w:tcW w:w="1555" w:type="dxa"/>
          </w:tcPr>
          <w:p w14:paraId="48B25BE3" w14:textId="77777777" w:rsidR="00243DBD" w:rsidRDefault="00243DBD" w:rsidP="00097E84">
            <w:pPr>
              <w:pStyle w:val="MDPI42tablebody"/>
              <w:spacing w:line="240" w:lineRule="auto"/>
              <w:jc w:val="left"/>
            </w:pPr>
            <w:r>
              <w:rPr>
                <w:rFonts w:hint="eastAsia"/>
              </w:rPr>
              <w:t>P</w:t>
            </w:r>
            <w:r>
              <w:t>NI</w:t>
            </w:r>
          </w:p>
        </w:tc>
        <w:tc>
          <w:tcPr>
            <w:tcW w:w="1417" w:type="dxa"/>
          </w:tcPr>
          <w:p w14:paraId="7D7BE9EE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48.8</w:t>
            </w:r>
          </w:p>
        </w:tc>
        <w:tc>
          <w:tcPr>
            <w:tcW w:w="1418" w:type="dxa"/>
          </w:tcPr>
          <w:p w14:paraId="15CA40D5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</w:t>
            </w:r>
            <w:r>
              <w:t>.903493</w:t>
            </w:r>
          </w:p>
        </w:tc>
        <w:tc>
          <w:tcPr>
            <w:tcW w:w="2693" w:type="dxa"/>
          </w:tcPr>
          <w:p w14:paraId="0B25D81D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.447(0.289-0.693)</w:t>
            </w:r>
          </w:p>
        </w:tc>
        <w:tc>
          <w:tcPr>
            <w:tcW w:w="1276" w:type="dxa"/>
          </w:tcPr>
          <w:p w14:paraId="45E094DF" w14:textId="77777777" w:rsidR="00243DBD" w:rsidRDefault="00243DBD" w:rsidP="00097E8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</w:tbl>
    <w:p w14:paraId="67AC724E" w14:textId="433ED3F6" w:rsidR="001F3797" w:rsidRDefault="001F3797" w:rsidP="00243DBD">
      <w:pPr>
        <w:rPr>
          <w:rFonts w:hint="eastAsia"/>
        </w:rPr>
      </w:pPr>
    </w:p>
    <w:p w14:paraId="4A97FD22" w14:textId="43D6D4BF" w:rsidR="00B12C19" w:rsidRDefault="00B12C19">
      <w:pPr>
        <w:spacing w:line="240" w:lineRule="auto"/>
        <w:jc w:val="left"/>
      </w:pPr>
      <w:r>
        <w:br w:type="page"/>
      </w:r>
    </w:p>
    <w:p w14:paraId="2C4140C0" w14:textId="77777777" w:rsidR="00B12C19" w:rsidRDefault="00B12C19" w:rsidP="00B12C19">
      <w:pPr>
        <w:pStyle w:val="MDPI41tablecaption"/>
        <w:ind w:left="0"/>
        <w:jc w:val="center"/>
      </w:pPr>
      <w:r>
        <w:rPr>
          <w:b/>
        </w:rPr>
        <w:lastRenderedPageBreak/>
        <w:t>Table S2.</w:t>
      </w:r>
      <w:r>
        <w:t xml:space="preserve"> The IDI, Continuous-NRI, and Median improvement were used to assess reclassification performance and improvement in discrimination of RISK-NRI.</w:t>
      </w:r>
    </w:p>
    <w:tbl>
      <w:tblPr>
        <w:tblStyle w:val="a6"/>
        <w:tblW w:w="11907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2085"/>
        <w:gridCol w:w="1007"/>
        <w:gridCol w:w="2268"/>
        <w:gridCol w:w="992"/>
        <w:gridCol w:w="3114"/>
        <w:gridCol w:w="1422"/>
      </w:tblGrid>
      <w:tr w:rsidR="00B12C19" w14:paraId="72703009" w14:textId="77777777" w:rsidTr="00A25D14">
        <w:trPr>
          <w:jc w:val="center"/>
        </w:trPr>
        <w:tc>
          <w:tcPr>
            <w:tcW w:w="1019" w:type="dxa"/>
            <w:tcBorders>
              <w:top w:val="single" w:sz="12" w:space="0" w:color="auto"/>
              <w:bottom w:val="nil"/>
            </w:tcBorders>
          </w:tcPr>
          <w:p w14:paraId="5E5DDA1E" w14:textId="77777777" w:rsidR="00B12C19" w:rsidRDefault="00B12C19" w:rsidP="00A25D1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12" w:space="0" w:color="auto"/>
              <w:bottom w:val="nil"/>
            </w:tcBorders>
          </w:tcPr>
          <w:p w14:paraId="51859EF8" w14:textId="77777777" w:rsidR="00B12C19" w:rsidRDefault="00B12C19" w:rsidP="00A25D14">
            <w:pPr>
              <w:pStyle w:val="MDPI42tablebody"/>
              <w:pBdr>
                <w:bottom w:val="single" w:sz="8" w:space="1" w:color="auto"/>
              </w:pBdr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I</w:t>
            </w:r>
            <w:r>
              <w:rPr>
                <w:b/>
                <w:snapToGrid/>
              </w:rPr>
              <w:t>DI (95%CI)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0E30636B" w14:textId="77777777" w:rsidR="00B12C19" w:rsidRDefault="00B12C19" w:rsidP="00A25D14">
            <w:pPr>
              <w:pStyle w:val="MDPI42tablebody"/>
              <w:pBdr>
                <w:bottom w:val="single" w:sz="8" w:space="1" w:color="auto"/>
              </w:pBdr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C</w:t>
            </w:r>
            <w:r>
              <w:rPr>
                <w:b/>
                <w:snapToGrid/>
              </w:rPr>
              <w:t>ontinuous-NRI (95%CI)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nil"/>
            </w:tcBorders>
          </w:tcPr>
          <w:p w14:paraId="7162B2BF" w14:textId="77777777" w:rsidR="00B12C19" w:rsidRDefault="00B12C19" w:rsidP="00A25D14">
            <w:pPr>
              <w:pStyle w:val="MDPI42tablebody"/>
              <w:pBdr>
                <w:bottom w:val="single" w:sz="8" w:space="1" w:color="auto"/>
              </w:pBdr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M</w:t>
            </w:r>
            <w:r>
              <w:rPr>
                <w:b/>
                <w:snapToGrid/>
              </w:rPr>
              <w:t>edian improvement in risk score (95%CI)</w:t>
            </w:r>
          </w:p>
        </w:tc>
      </w:tr>
      <w:tr w:rsidR="00B12C19" w14:paraId="0A961B7D" w14:textId="77777777" w:rsidTr="00A25D14">
        <w:trPr>
          <w:jc w:val="center"/>
        </w:trPr>
        <w:tc>
          <w:tcPr>
            <w:tcW w:w="1019" w:type="dxa"/>
            <w:tcBorders>
              <w:top w:val="nil"/>
              <w:bottom w:val="single" w:sz="8" w:space="0" w:color="auto"/>
            </w:tcBorders>
          </w:tcPr>
          <w:p w14:paraId="54EFC3A0" w14:textId="77777777" w:rsidR="00B12C19" w:rsidRDefault="00B12C19" w:rsidP="00A25D1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bottom w:val="single" w:sz="8" w:space="0" w:color="auto"/>
            </w:tcBorders>
          </w:tcPr>
          <w:p w14:paraId="0D30C2CB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P</w:t>
            </w:r>
            <w:r>
              <w:rPr>
                <w:b/>
                <w:snapToGrid/>
              </w:rPr>
              <w:t>oint</w:t>
            </w:r>
          </w:p>
        </w:tc>
        <w:tc>
          <w:tcPr>
            <w:tcW w:w="1007" w:type="dxa"/>
            <w:tcBorders>
              <w:top w:val="nil"/>
              <w:bottom w:val="single" w:sz="8" w:space="0" w:color="auto"/>
            </w:tcBorders>
          </w:tcPr>
          <w:p w14:paraId="22ADAE47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243DBD">
              <w:rPr>
                <w:rFonts w:hint="eastAsia"/>
                <w:b/>
                <w:i/>
                <w:iCs/>
                <w:snapToGrid/>
              </w:rPr>
              <w:t>P</w:t>
            </w:r>
            <w:r>
              <w:rPr>
                <w:b/>
                <w:snapToGrid/>
              </w:rPr>
              <w:t xml:space="preserve"> value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</w:tcPr>
          <w:p w14:paraId="7C03AD09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P</w:t>
            </w:r>
            <w:r>
              <w:rPr>
                <w:b/>
                <w:snapToGrid/>
              </w:rPr>
              <w:t>oint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</w:tcPr>
          <w:p w14:paraId="34122AE8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 w:rsidRPr="00243DBD">
              <w:rPr>
                <w:rFonts w:hint="eastAsia"/>
                <w:b/>
                <w:i/>
                <w:iCs/>
                <w:snapToGrid/>
              </w:rPr>
              <w:t>P</w:t>
            </w:r>
            <w:r>
              <w:rPr>
                <w:b/>
                <w:snapToGrid/>
              </w:rPr>
              <w:t xml:space="preserve"> value</w:t>
            </w:r>
          </w:p>
        </w:tc>
        <w:tc>
          <w:tcPr>
            <w:tcW w:w="3114" w:type="dxa"/>
            <w:tcBorders>
              <w:top w:val="nil"/>
              <w:bottom w:val="single" w:sz="8" w:space="0" w:color="auto"/>
            </w:tcBorders>
          </w:tcPr>
          <w:p w14:paraId="3804CAB1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P</w:t>
            </w:r>
            <w:r>
              <w:rPr>
                <w:b/>
                <w:snapToGrid/>
              </w:rPr>
              <w:t>oint</w:t>
            </w:r>
          </w:p>
        </w:tc>
        <w:tc>
          <w:tcPr>
            <w:tcW w:w="1422" w:type="dxa"/>
            <w:tcBorders>
              <w:top w:val="nil"/>
              <w:bottom w:val="single" w:sz="8" w:space="0" w:color="auto"/>
            </w:tcBorders>
          </w:tcPr>
          <w:p w14:paraId="2AE0BBEC" w14:textId="77777777" w:rsidR="00B12C19" w:rsidRDefault="00B12C19" w:rsidP="00A25D14">
            <w:pPr>
              <w:pStyle w:val="MDPI42tablebody"/>
              <w:spacing w:line="240" w:lineRule="auto"/>
              <w:rPr>
                <w:b/>
                <w:snapToGrid/>
              </w:rPr>
            </w:pPr>
            <w:r>
              <w:rPr>
                <w:rFonts w:hint="eastAsia"/>
                <w:b/>
                <w:snapToGrid/>
              </w:rPr>
              <w:t>P</w:t>
            </w:r>
            <w:r>
              <w:rPr>
                <w:b/>
                <w:snapToGrid/>
              </w:rPr>
              <w:t xml:space="preserve"> value</w:t>
            </w:r>
          </w:p>
        </w:tc>
      </w:tr>
      <w:tr w:rsidR="00B12C19" w14:paraId="676B34CB" w14:textId="77777777" w:rsidTr="00A25D14">
        <w:trPr>
          <w:jc w:val="center"/>
        </w:trPr>
        <w:tc>
          <w:tcPr>
            <w:tcW w:w="1019" w:type="dxa"/>
            <w:tcBorders>
              <w:top w:val="single" w:sz="8" w:space="0" w:color="auto"/>
              <w:bottom w:val="nil"/>
            </w:tcBorders>
          </w:tcPr>
          <w:p w14:paraId="3BA93A37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1</w:t>
            </w:r>
            <w:r>
              <w:t>-year</w:t>
            </w:r>
          </w:p>
        </w:tc>
        <w:tc>
          <w:tcPr>
            <w:tcW w:w="2085" w:type="dxa"/>
            <w:tcBorders>
              <w:top w:val="single" w:sz="8" w:space="0" w:color="auto"/>
              <w:bottom w:val="nil"/>
            </w:tcBorders>
          </w:tcPr>
          <w:p w14:paraId="662B2579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.034(0.007-0.064)</w:t>
            </w:r>
          </w:p>
        </w:tc>
        <w:tc>
          <w:tcPr>
            <w:tcW w:w="1007" w:type="dxa"/>
            <w:tcBorders>
              <w:top w:val="single" w:sz="8" w:space="0" w:color="auto"/>
              <w:bottom w:val="nil"/>
            </w:tcBorders>
          </w:tcPr>
          <w:p w14:paraId="20497677" w14:textId="77777777" w:rsidR="00B12C19" w:rsidRDefault="00B12C19" w:rsidP="00A25D14">
            <w:pPr>
              <w:pStyle w:val="MDPI42tablebody"/>
              <w:spacing w:line="240" w:lineRule="auto"/>
            </w:pPr>
            <w:r>
              <w:t>0.004</w:t>
            </w:r>
          </w:p>
        </w:tc>
        <w:tc>
          <w:tcPr>
            <w:tcW w:w="2268" w:type="dxa"/>
            <w:tcBorders>
              <w:top w:val="single" w:sz="8" w:space="0" w:color="auto"/>
              <w:bottom w:val="nil"/>
            </w:tcBorders>
          </w:tcPr>
          <w:p w14:paraId="3D526F19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.347(0.178-0.487)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</w:tcPr>
          <w:p w14:paraId="1E7CF0F2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  <w:tc>
          <w:tcPr>
            <w:tcW w:w="3114" w:type="dxa"/>
            <w:tcBorders>
              <w:top w:val="single" w:sz="8" w:space="0" w:color="auto"/>
              <w:bottom w:val="nil"/>
            </w:tcBorders>
          </w:tcPr>
          <w:p w14:paraId="3A3425BE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.061(0.033-0.104)</w:t>
            </w:r>
          </w:p>
        </w:tc>
        <w:tc>
          <w:tcPr>
            <w:tcW w:w="1422" w:type="dxa"/>
            <w:tcBorders>
              <w:top w:val="single" w:sz="8" w:space="0" w:color="auto"/>
              <w:bottom w:val="nil"/>
            </w:tcBorders>
          </w:tcPr>
          <w:p w14:paraId="7D98BBD7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B12C19" w14:paraId="09717125" w14:textId="77777777" w:rsidTr="00A25D14">
        <w:trPr>
          <w:jc w:val="center"/>
        </w:trPr>
        <w:tc>
          <w:tcPr>
            <w:tcW w:w="1019" w:type="dxa"/>
            <w:tcBorders>
              <w:top w:val="nil"/>
              <w:bottom w:val="nil"/>
            </w:tcBorders>
          </w:tcPr>
          <w:p w14:paraId="16D53C2C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2</w:t>
            </w:r>
            <w:r>
              <w:t>-year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0D72111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.048(0.016-0.078)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6C06868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63EDD1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.366(0.218-0.498)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1A73FAC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14:paraId="08426DAC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.093(0.047-0.141)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77761E33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B12C19" w14:paraId="711F1688" w14:textId="77777777" w:rsidTr="00A25D14">
        <w:trPr>
          <w:jc w:val="center"/>
        </w:trPr>
        <w:tc>
          <w:tcPr>
            <w:tcW w:w="1019" w:type="dxa"/>
            <w:tcBorders>
              <w:top w:val="nil"/>
              <w:bottom w:val="nil"/>
            </w:tcBorders>
          </w:tcPr>
          <w:p w14:paraId="600E55CE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3</w:t>
            </w:r>
            <w:r>
              <w:t>-year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20FEB6F9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.049(0.011-0.080)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66BE40F3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CEA9F5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.341(0.188-0.471)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25AE343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14:paraId="63CD5136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.117(0.038-0.151)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56B17695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B12C19" w14:paraId="5C21DD0A" w14:textId="77777777" w:rsidTr="00A25D14">
        <w:trPr>
          <w:jc w:val="center"/>
        </w:trPr>
        <w:tc>
          <w:tcPr>
            <w:tcW w:w="1019" w:type="dxa"/>
            <w:tcBorders>
              <w:top w:val="nil"/>
              <w:bottom w:val="nil"/>
            </w:tcBorders>
          </w:tcPr>
          <w:p w14:paraId="50B0488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4</w:t>
            </w:r>
            <w:r>
              <w:t>-year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15DB5D41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.048(0.010-0.081)</w:t>
            </w:r>
          </w:p>
        </w:tc>
        <w:tc>
          <w:tcPr>
            <w:tcW w:w="1007" w:type="dxa"/>
            <w:tcBorders>
              <w:top w:val="nil"/>
              <w:bottom w:val="nil"/>
            </w:tcBorders>
          </w:tcPr>
          <w:p w14:paraId="1B9543E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.016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85AE516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.337(0.184-0.476)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13539C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.004</w:t>
            </w:r>
          </w:p>
        </w:tc>
        <w:tc>
          <w:tcPr>
            <w:tcW w:w="3114" w:type="dxa"/>
            <w:tcBorders>
              <w:top w:val="nil"/>
              <w:bottom w:val="nil"/>
            </w:tcBorders>
          </w:tcPr>
          <w:p w14:paraId="1A7B609D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.119(0.037-0.151)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A3631D1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</w:p>
        </w:tc>
      </w:tr>
      <w:tr w:rsidR="00B12C19" w14:paraId="0B2D767F" w14:textId="77777777" w:rsidTr="00A25D14">
        <w:trPr>
          <w:jc w:val="center"/>
        </w:trPr>
        <w:tc>
          <w:tcPr>
            <w:tcW w:w="1019" w:type="dxa"/>
            <w:tcBorders>
              <w:top w:val="nil"/>
              <w:bottom w:val="single" w:sz="12" w:space="0" w:color="auto"/>
            </w:tcBorders>
          </w:tcPr>
          <w:p w14:paraId="1A29B8BA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5</w:t>
            </w:r>
            <w:r>
              <w:t>-year</w:t>
            </w:r>
          </w:p>
        </w:tc>
        <w:tc>
          <w:tcPr>
            <w:tcW w:w="2085" w:type="dxa"/>
            <w:tcBorders>
              <w:top w:val="nil"/>
              <w:bottom w:val="single" w:sz="12" w:space="0" w:color="auto"/>
            </w:tcBorders>
          </w:tcPr>
          <w:p w14:paraId="4DA0873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.049(0.007-0.085)</w:t>
            </w:r>
          </w:p>
        </w:tc>
        <w:tc>
          <w:tcPr>
            <w:tcW w:w="1007" w:type="dxa"/>
            <w:tcBorders>
              <w:top w:val="nil"/>
              <w:bottom w:val="single" w:sz="12" w:space="0" w:color="auto"/>
            </w:tcBorders>
          </w:tcPr>
          <w:p w14:paraId="22704C68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.032</w:t>
            </w:r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</w:tcPr>
          <w:p w14:paraId="492FFC2F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.348(0.176-0.511)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14:paraId="50EA7F13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.004</w:t>
            </w:r>
          </w:p>
        </w:tc>
        <w:tc>
          <w:tcPr>
            <w:tcW w:w="3114" w:type="dxa"/>
            <w:tcBorders>
              <w:top w:val="nil"/>
              <w:bottom w:val="single" w:sz="12" w:space="0" w:color="auto"/>
            </w:tcBorders>
          </w:tcPr>
          <w:p w14:paraId="4F19DA3D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.119(0.020-0.151)</w:t>
            </w:r>
          </w:p>
        </w:tc>
        <w:tc>
          <w:tcPr>
            <w:tcW w:w="1422" w:type="dxa"/>
            <w:tcBorders>
              <w:top w:val="nil"/>
              <w:bottom w:val="single" w:sz="12" w:space="0" w:color="auto"/>
            </w:tcBorders>
          </w:tcPr>
          <w:p w14:paraId="2DD623F0" w14:textId="77777777" w:rsidR="00B12C19" w:rsidRDefault="00B12C19" w:rsidP="00A25D14">
            <w:pPr>
              <w:pStyle w:val="MDPI42tablebody"/>
              <w:spacing w:line="240" w:lineRule="auto"/>
            </w:pPr>
            <w:r>
              <w:rPr>
                <w:rFonts w:hint="eastAsia"/>
              </w:rPr>
              <w:t>0</w:t>
            </w:r>
            <w:r>
              <w:t>.004</w:t>
            </w:r>
          </w:p>
        </w:tc>
      </w:tr>
    </w:tbl>
    <w:p w14:paraId="6A27A47A" w14:textId="77777777" w:rsidR="00B12C19" w:rsidRPr="00A91267" w:rsidRDefault="00B12C19" w:rsidP="00B12C19"/>
    <w:p w14:paraId="0DDDBAF5" w14:textId="77777777" w:rsidR="00B12C19" w:rsidRPr="00243DBD" w:rsidRDefault="00B12C19" w:rsidP="00B12C19"/>
    <w:p w14:paraId="23AC8399" w14:textId="77777777" w:rsidR="00B12C19" w:rsidRPr="00243DBD" w:rsidRDefault="00B12C19" w:rsidP="00243DBD">
      <w:bookmarkStart w:id="0" w:name="_GoBack"/>
      <w:bookmarkEnd w:id="0"/>
    </w:p>
    <w:sectPr w:rsidR="00B12C19" w:rsidRPr="00243DBD" w:rsidSect="00B12C19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340EE" w14:textId="77777777" w:rsidR="00D67574" w:rsidRDefault="00D67574">
      <w:pPr>
        <w:spacing w:line="240" w:lineRule="auto"/>
      </w:pPr>
      <w:r>
        <w:separator/>
      </w:r>
    </w:p>
  </w:endnote>
  <w:endnote w:type="continuationSeparator" w:id="0">
    <w:p w14:paraId="24B23145" w14:textId="77777777" w:rsidR="00D67574" w:rsidRDefault="00D67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37209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02A84B5" w14:textId="77777777" w:rsidR="001F3797" w:rsidRDefault="00B12C1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32014D" w14:textId="77777777" w:rsidR="001F3797" w:rsidRDefault="001F37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0BE6" w14:textId="77777777" w:rsidR="00D67574" w:rsidRDefault="00D67574">
      <w:pPr>
        <w:spacing w:line="240" w:lineRule="auto"/>
      </w:pPr>
      <w:r>
        <w:separator/>
      </w:r>
    </w:p>
  </w:footnote>
  <w:footnote w:type="continuationSeparator" w:id="0">
    <w:p w14:paraId="6026FD1F" w14:textId="77777777" w:rsidR="00D67574" w:rsidRDefault="00D675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NDI0MrcwNTYzMTdU0lEKTi0uzszPAykwqgUA7FEsbSwAAAA="/>
    <w:docVar w:name="commondata" w:val="eyJoZGlkIjoiODQ2MDdhM2I5NTIwODRmMDQyZmNjZGI2NjZmZDZhZGIifQ=="/>
  </w:docVars>
  <w:rsids>
    <w:rsidRoot w:val="003853E0"/>
    <w:rsid w:val="001E0252"/>
    <w:rsid w:val="001F3797"/>
    <w:rsid w:val="00243DBD"/>
    <w:rsid w:val="00353374"/>
    <w:rsid w:val="003853E0"/>
    <w:rsid w:val="0050150A"/>
    <w:rsid w:val="00570AE4"/>
    <w:rsid w:val="005E066D"/>
    <w:rsid w:val="006366CC"/>
    <w:rsid w:val="00706392"/>
    <w:rsid w:val="009B44F7"/>
    <w:rsid w:val="00B12C19"/>
    <w:rsid w:val="00B15577"/>
    <w:rsid w:val="00D67574"/>
    <w:rsid w:val="00E00D07"/>
    <w:rsid w:val="00F40A29"/>
    <w:rsid w:val="00F841E4"/>
    <w:rsid w:val="0EE3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5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BD"/>
    <w:pPr>
      <w:spacing w:line="260" w:lineRule="atLeast"/>
      <w:jc w:val="both"/>
    </w:pPr>
    <w:rPr>
      <w:rFonts w:ascii="Palatino Linotype" w:eastAsia="宋体" w:hAnsi="Palatino Linotype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pPr>
      <w:widowControl w:val="0"/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Pr>
      <w:sz w:val="18"/>
      <w:szCs w:val="18"/>
    </w:rPr>
  </w:style>
  <w:style w:type="paragraph" w:customStyle="1" w:styleId="MDPI41tablecaption">
    <w:name w:val="MDPI_4.1_table_caption"/>
    <w:qFormat/>
    <w:rsid w:val="00243DB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243DB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BD"/>
    <w:pPr>
      <w:spacing w:line="260" w:lineRule="atLeast"/>
      <w:jc w:val="both"/>
    </w:pPr>
    <w:rPr>
      <w:rFonts w:ascii="Palatino Linotype" w:eastAsia="宋体" w:hAnsi="Palatino Linotype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pPr>
      <w:widowControl w:val="0"/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Pr>
      <w:sz w:val="18"/>
      <w:szCs w:val="18"/>
    </w:rPr>
  </w:style>
  <w:style w:type="paragraph" w:customStyle="1" w:styleId="MDPI41tablecaption">
    <w:name w:val="MDPI_4.1_table_caption"/>
    <w:qFormat/>
    <w:rsid w:val="00243DBD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243DBD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F788-0C72-47E2-BDBA-5AC5E51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 qing</dc:creator>
  <cp:lastModifiedBy>liuji</cp:lastModifiedBy>
  <cp:revision>15</cp:revision>
  <dcterms:created xsi:type="dcterms:W3CDTF">2022-08-06T07:48:00Z</dcterms:created>
  <dcterms:modified xsi:type="dcterms:W3CDTF">2023-07-24T02:03:00Z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4581CB7E8F864093B4CE6C2339DBF720</vt:lpwstr>
  </property>
</Properties>
</file>