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Supplementary Table</w:t>
      </w:r>
      <w:r>
        <w:rPr>
          <w:rFonts w:hint="eastAsia" w:ascii="Times New Roman" w:hAnsi="Times New Roman" w:cs="Times New Roman"/>
          <w:b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Univariate and multivariate Cox proportional hazard analysis of recurrence-free survival in patients with T1HG NMIBC</w:t>
      </w:r>
    </w:p>
    <w:tbl>
      <w:tblPr>
        <w:tblStyle w:val="9"/>
        <w:tblW w:w="14495" w:type="dxa"/>
        <w:tblInd w:w="0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1710"/>
        <w:gridCol w:w="930"/>
        <w:gridCol w:w="240"/>
        <w:gridCol w:w="1712"/>
        <w:gridCol w:w="930"/>
        <w:gridCol w:w="240"/>
        <w:gridCol w:w="1712"/>
        <w:gridCol w:w="930"/>
        <w:gridCol w:w="238"/>
        <w:gridCol w:w="1712"/>
        <w:gridCol w:w="930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211" w:type="dxa"/>
            <w:vMerge w:val="restart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  <w:vAlign w:val="center"/>
          </w:tcPr>
          <w:p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Variable</w:t>
            </w:r>
          </w:p>
        </w:tc>
        <w:tc>
          <w:tcPr>
            <w:tcW w:w="2640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  <w:vAlign w:val="center"/>
          </w:tcPr>
          <w:p>
            <w:pPr>
              <w:spacing w:before="0"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Univariate</w:t>
            </w:r>
          </w:p>
        </w:tc>
        <w:tc>
          <w:tcPr>
            <w:tcW w:w="240" w:type="dxa"/>
            <w:vMerge w:val="restart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color="000000" w:themeColor="text1" w:sz="8" w:space="0"/>
              <w:bottom w:val="single" w:color="auto" w:sz="4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Multivariate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(adjusted by T1a/b/c)</w:t>
            </w:r>
          </w:p>
        </w:tc>
        <w:tc>
          <w:tcPr>
            <w:tcW w:w="240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color="000000" w:themeColor="text1" w:sz="8" w:space="0"/>
              <w:bottom w:val="single" w:color="auto" w:sz="4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Multivariate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(adjusted by T1m/e)</w:t>
            </w:r>
          </w:p>
        </w:tc>
        <w:tc>
          <w:tcPr>
            <w:tcW w:w="238" w:type="dxa"/>
            <w:vMerge w:val="restart"/>
            <w:tcBorders>
              <w:top w:val="single" w:color="000000" w:themeColor="text1" w:sz="8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color="000000" w:themeColor="text1" w:sz="8" w:space="0"/>
              <w:bottom w:val="single" w:color="auto" w:sz="4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Multivariate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(adjusted by </w:t>
            </w: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COMB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3211" w:type="dxa"/>
            <w:vMerge w:val="continue"/>
            <w:tcBorders>
              <w:left w:val="nil"/>
              <w:bottom w:val="single" w:color="auto" w:sz="4" w:space="0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color="auto" w:sz="4" w:space="0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HR(95% CI)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BF"/>
                <w:sz w:val="20"/>
                <w:szCs w:val="20"/>
              </w:rPr>
              <w:t>p</w:t>
            </w:r>
          </w:p>
        </w:tc>
        <w:tc>
          <w:tcPr>
            <w:tcW w:w="240" w:type="dxa"/>
            <w:vMerge w:val="continue"/>
            <w:tcBorders>
              <w:bottom w:val="single" w:color="auto" w:sz="4" w:space="0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HR(95% CI)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BF"/>
                <w:sz w:val="20"/>
                <w:szCs w:val="20"/>
              </w:rPr>
              <w:t>p</w:t>
            </w: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HR(95% CI)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BF"/>
                <w:sz w:val="20"/>
                <w:szCs w:val="20"/>
              </w:rPr>
              <w:t>p</w:t>
            </w:r>
          </w:p>
        </w:tc>
        <w:tc>
          <w:tcPr>
            <w:tcW w:w="238" w:type="dxa"/>
            <w:vMerge w:val="continue"/>
            <w:tcBorders>
              <w:bottom w:val="single" w:color="auto" w:sz="4" w:space="0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i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HR(95% CI)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p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Age</w:t>
            </w:r>
          </w:p>
        </w:tc>
        <w:tc>
          <w:tcPr>
            <w:tcW w:w="17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0.99(0.96-1.00)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0.184</w:t>
            </w: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  <w:tcBorders>
              <w:left w:val="nil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Gender (male as Ref.)</w:t>
            </w:r>
          </w:p>
        </w:tc>
        <w:tc>
          <w:tcPr>
            <w:tcW w:w="171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1.67(0.95-2.92)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0.072</w:t>
            </w: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 w:themeShade="BF"/>
                <w:sz w:val="20"/>
                <w:szCs w:val="20"/>
                <w:lang w:val="en-US" w:eastAsia="zh-CN"/>
              </w:rPr>
              <w:t>2.04(1.15-3.61)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  <w:lang w:val="en-US" w:eastAsia="zh-CN"/>
              </w:rPr>
              <w:t>0.015</w:t>
            </w: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 w:themeShade="BF"/>
                <w:sz w:val="20"/>
                <w:szCs w:val="20"/>
                <w:lang w:val="en-US" w:eastAsia="zh-CN"/>
              </w:rPr>
              <w:t>2.59(1.45-4.62)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  <w:lang w:val="en-US" w:eastAsia="zh-CN"/>
              </w:rPr>
              <w:t>0.001</w:t>
            </w:r>
          </w:p>
        </w:tc>
        <w:tc>
          <w:tcPr>
            <w:tcW w:w="238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inorEastAsia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0"/>
                <w:szCs w:val="20"/>
                <w:lang w:val="en-US" w:eastAsia="zh-CN"/>
              </w:rPr>
              <w:t>2.29(1.28-4.11)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0.005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S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  <w:lang w:val="en-US" w:eastAsia="zh-CN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oking (no as Ref.)</w:t>
            </w:r>
          </w:p>
        </w:tc>
        <w:tc>
          <w:tcPr>
            <w:tcW w:w="17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0.79(0.48-1.30)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0.356</w:t>
            </w: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  <w:tcBorders>
              <w:left w:val="nil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Tumor number (si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  <w:lang w:val="en-US" w:eastAsia="zh-CN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gle as Ref.)</w:t>
            </w:r>
          </w:p>
        </w:tc>
        <w:tc>
          <w:tcPr>
            <w:tcW w:w="171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2.54(1.54-4.18)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&lt;0.001</w:t>
            </w: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2.36(1.42-3.94)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0.001</w:t>
            </w: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2.02(1.22-3.36)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0.007</w:t>
            </w:r>
          </w:p>
        </w:tc>
        <w:tc>
          <w:tcPr>
            <w:tcW w:w="238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inorEastAsia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FF0000"/>
                <w:sz w:val="20"/>
                <w:szCs w:val="20"/>
                <w:lang w:val="en-US" w:eastAsia="zh-CN"/>
              </w:rPr>
              <w:t>2.26(1.35-3.77)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inorEastAsia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>0.002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Tumor size (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3cm as Ref.)</w:t>
            </w:r>
          </w:p>
        </w:tc>
        <w:tc>
          <w:tcPr>
            <w:tcW w:w="17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0.61(0.28-1.34)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0.219</w:t>
            </w: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  <w:tcBorders>
              <w:left w:val="nil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LVI (no as Ref.)</w:t>
            </w:r>
          </w:p>
        </w:tc>
        <w:tc>
          <w:tcPr>
            <w:tcW w:w="171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2.59(1.12-6.00)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0.026</w:t>
            </w: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4.32(1.76-10.6)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0.001</w:t>
            </w: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 w:themeShade="BF"/>
                <w:sz w:val="20"/>
                <w:szCs w:val="20"/>
                <w:lang w:val="en-US" w:eastAsia="zh-CN"/>
              </w:rPr>
              <w:t>3.60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(1.</w:t>
            </w:r>
            <w:r>
              <w:rPr>
                <w:rFonts w:hint="eastAsia" w:ascii="Times New Roman" w:hAnsi="Times New Roman" w:cs="Times New Roman"/>
                <w:color w:val="000000" w:themeColor="text1" w:themeShade="BF"/>
                <w:sz w:val="20"/>
                <w:szCs w:val="20"/>
                <w:lang w:val="en-US" w:eastAsia="zh-CN"/>
              </w:rPr>
              <w:t>48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cs="Times New Roman"/>
                <w:color w:val="000000" w:themeColor="text1" w:themeShade="BF"/>
                <w:sz w:val="20"/>
                <w:szCs w:val="20"/>
                <w:lang w:val="en-US" w:eastAsia="zh-CN"/>
              </w:rPr>
              <w:t>8.74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inorEastAsia"/>
                <w:b/>
                <w:color w:val="000000" w:themeColor="text1" w:themeShade="BF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0.0</w:t>
            </w:r>
            <w:r>
              <w:rPr>
                <w:rFonts w:hint="eastAsia" w:ascii="Times New Roman" w:hAnsi="Times New Roman" w:cs="Times New Roman"/>
                <w:b/>
                <w:color w:val="000000" w:themeColor="text1" w:themeShade="BF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238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inorEastAsia"/>
                <w:b w:val="0"/>
                <w:bCs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FF0000"/>
                <w:sz w:val="20"/>
                <w:szCs w:val="20"/>
                <w:lang w:val="en-US" w:eastAsia="zh-CN"/>
              </w:rPr>
              <w:t>4.52(1.83-11.1)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inorEastAsia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>0.001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CIS (no as Ref.)</w:t>
            </w:r>
          </w:p>
        </w:tc>
        <w:tc>
          <w:tcPr>
            <w:tcW w:w="17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2.01(1.23-3.28)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0.005</w:t>
            </w: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1.92(1.14-3.22)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0.014</w:t>
            </w: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cs="Times New Roman"/>
                <w:color w:val="000000" w:themeColor="text1" w:themeShade="BF"/>
                <w:sz w:val="20"/>
                <w:szCs w:val="20"/>
                <w:lang w:val="en-US" w:eastAsia="zh-CN"/>
              </w:rPr>
              <w:t>70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cs="Times New Roman"/>
                <w:color w:val="000000" w:themeColor="text1" w:themeShade="BF"/>
                <w:sz w:val="20"/>
                <w:szCs w:val="20"/>
                <w:lang w:val="en-US" w:eastAsia="zh-CN"/>
              </w:rPr>
              <w:t>1.01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-2.</w:t>
            </w:r>
            <w:r>
              <w:rPr>
                <w:rFonts w:hint="eastAsia" w:ascii="Times New Roman" w:hAnsi="Times New Roman" w:cs="Times New Roman"/>
                <w:color w:val="000000" w:themeColor="text1" w:themeShade="BF"/>
                <w:sz w:val="20"/>
                <w:szCs w:val="20"/>
                <w:lang w:val="en-US" w:eastAsia="zh-CN"/>
              </w:rPr>
              <w:t>89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inorEastAsia"/>
                <w:b/>
                <w:color w:val="000000" w:themeColor="text1" w:themeShade="BF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0.0</w:t>
            </w:r>
            <w:r>
              <w:rPr>
                <w:rFonts w:hint="eastAsia" w:ascii="Times New Roman" w:hAnsi="Times New Roman" w:cs="Times New Roman"/>
                <w:b/>
                <w:color w:val="000000" w:themeColor="text1" w:themeShade="BF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2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inorEastAsia"/>
                <w:b w:val="0"/>
                <w:bCs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FF0000"/>
                <w:sz w:val="20"/>
                <w:szCs w:val="20"/>
                <w:lang w:val="en-US" w:eastAsia="zh-CN"/>
              </w:rPr>
              <w:t>1.72(1.02-2.92)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inorEastAsia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>0.043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  <w:tcBorders>
              <w:left w:val="nil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VH (no as Ref.)</w:t>
            </w:r>
          </w:p>
        </w:tc>
        <w:tc>
          <w:tcPr>
            <w:tcW w:w="171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0.88(0.42-1.84)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0.741</w:t>
            </w: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Re-TUBBT (no as Ref.)</w:t>
            </w:r>
          </w:p>
        </w:tc>
        <w:tc>
          <w:tcPr>
            <w:tcW w:w="17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1.28(0.69-2.38)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0.439</w:t>
            </w: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  <w:tcBorders>
              <w:left w:val="nil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Residual disease at Re-TURBt</w:t>
            </w:r>
          </w:p>
          <w:p>
            <w:pPr>
              <w:ind w:firstLine="201" w:firstLineChars="100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(no as Ref.)</w:t>
            </w:r>
          </w:p>
        </w:tc>
        <w:tc>
          <w:tcPr>
            <w:tcW w:w="171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1.35(0.76-2.37)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0.304</w:t>
            </w: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 xml:space="preserve">Instillation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</w:t>
            </w: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ru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gs</w:t>
            </w: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 xml:space="preserve"> (BCG as ref.)</w:t>
            </w:r>
          </w:p>
          <w:p>
            <w:pPr>
              <w:ind w:firstLine="201" w:firstLineChars="100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BCG+Chemotherapy</w:t>
            </w:r>
          </w:p>
          <w:p>
            <w:pPr>
              <w:ind w:firstLine="201" w:firstLineChars="100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Chemotherapy</w:t>
            </w:r>
          </w:p>
        </w:tc>
        <w:tc>
          <w:tcPr>
            <w:tcW w:w="17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1.04(0.54-2.03)</w:t>
            </w:r>
          </w:p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1.39(0.83-2.34)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0.899</w:t>
            </w:r>
          </w:p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0.209</w:t>
            </w: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  <w:tcBorders>
              <w:left w:val="nil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T1a/b/c substaging (T1a/b as Ref.)</w:t>
            </w:r>
          </w:p>
        </w:tc>
        <w:tc>
          <w:tcPr>
            <w:tcW w:w="171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2.46(1.51-3.99)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&lt;0.001</w:t>
            </w: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2.88(1.74-4.77)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&lt;0.001</w:t>
            </w: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—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—</w:t>
            </w:r>
          </w:p>
        </w:tc>
        <w:tc>
          <w:tcPr>
            <w:tcW w:w="238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—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T1 m/e substaging (T1m as Ref.)</w:t>
            </w:r>
          </w:p>
        </w:tc>
        <w:tc>
          <w:tcPr>
            <w:tcW w:w="17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3.88(1.78-8.47)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0.001</w:t>
            </w: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—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—</w:t>
            </w: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2.82(1.26-6.31)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0.012</w:t>
            </w:r>
          </w:p>
        </w:tc>
        <w:tc>
          <w:tcPr>
            <w:tcW w:w="2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—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COMB(T1a/b&amp;T1m as Ref.)</w:t>
            </w:r>
          </w:p>
          <w:p>
            <w:pPr>
              <w:ind w:firstLine="201" w:firstLineChars="100"/>
              <w:rPr>
                <w:rFonts w:hint="eastAsia" w:ascii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T1a/b&amp;T1e</w:t>
            </w:r>
          </w:p>
          <w:p>
            <w:pPr>
              <w:ind w:firstLine="201" w:firstLineChars="100"/>
              <w:rPr>
                <w:rFonts w:hint="default" w:ascii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T1c&amp;T1e</w:t>
            </w:r>
          </w:p>
        </w:tc>
        <w:tc>
          <w:tcPr>
            <w:tcW w:w="17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cs="Times New Roman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0"/>
                <w:szCs w:val="20"/>
                <w:lang w:val="en-US" w:eastAsia="zh-CN"/>
              </w:rPr>
              <w:t>3.16(1.41-7.08)</w:t>
            </w:r>
          </w:p>
          <w:p>
            <w:pPr>
              <w:rPr>
                <w:rFonts w:hint="default" w:ascii="Times New Roman" w:hAnsi="Times New Roman" w:cs="Times New Roman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0"/>
                <w:szCs w:val="20"/>
                <w:lang w:val="en-US" w:eastAsia="zh-CN"/>
              </w:rPr>
              <w:t>5.78(2.51-13.3)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>0.005</w:t>
            </w:r>
          </w:p>
          <w:p>
            <w:pPr>
              <w:rPr>
                <w:rFonts w:hint="default" w:ascii="Times New Roman" w:hAnsi="Times New Roman" w:cs="Times New Roman" w:eastAsiaTheme="minorEastAsia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—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—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—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—</w:t>
            </w:r>
          </w:p>
        </w:tc>
        <w:tc>
          <w:tcPr>
            <w:tcW w:w="2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cs="Times New Roman"/>
                <w:b w:val="0"/>
                <w:bCs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FF0000"/>
                <w:sz w:val="20"/>
                <w:szCs w:val="20"/>
                <w:lang w:val="en-US" w:eastAsia="zh-CN"/>
              </w:rPr>
              <w:t>2.42(1.04-5.65)</w:t>
            </w:r>
          </w:p>
          <w:p>
            <w:pP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FF0000"/>
                <w:sz w:val="20"/>
                <w:szCs w:val="20"/>
                <w:lang w:val="en-US" w:eastAsia="zh-CN"/>
              </w:rPr>
              <w:t>5.78(2.31-12.9)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>0.041</w:t>
            </w:r>
          </w:p>
          <w:p>
            <w:pP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>&lt;0.001</w:t>
            </w:r>
          </w:p>
        </w:tc>
      </w:tr>
    </w:tbl>
    <w:p>
      <w:pPr>
        <w:widowControl/>
        <w:rPr>
          <w:rFonts w:hint="default" w:ascii="Times New Roman" w:hAnsi="Times New Roman" w:cs="Times New Roman"/>
          <w:b w:val="0"/>
          <w:bCs/>
          <w:color w:val="FF0000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FF0000"/>
          <w:sz w:val="20"/>
          <w:szCs w:val="20"/>
          <w:lang w:val="en-US" w:eastAsia="zh-CN"/>
        </w:rPr>
        <w:t>LVI: lymphovascular invasion; CIS: carcinoma in situ; VH: v</w:t>
      </w:r>
      <w:r>
        <w:rPr>
          <w:rFonts w:hint="eastAsia" w:ascii="Times New Roman" w:hAnsi="Times New Roman" w:cs="Times New Roman"/>
          <w:b w:val="0"/>
          <w:bCs/>
          <w:color w:val="FF0000"/>
          <w:sz w:val="20"/>
          <w:szCs w:val="20"/>
          <w:lang w:val="en-US" w:eastAsia="zh-CN"/>
        </w:rPr>
        <w:t>ariant histology; COMB: variable that combines T1a/b/c and T1m/e</w:t>
      </w:r>
    </w:p>
    <w:p>
      <w:pPr>
        <w:widowControl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Supplementary Table </w:t>
      </w:r>
      <w:r>
        <w:rPr>
          <w:rFonts w:hint="eastAsia"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Univariate and multivariate Cox proportional hazard analysis of progression-free survival in patients with T1HG NMIBC</w:t>
      </w:r>
    </w:p>
    <w:tbl>
      <w:tblPr>
        <w:tblStyle w:val="9"/>
        <w:tblW w:w="14493" w:type="dxa"/>
        <w:tblInd w:w="0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9"/>
        <w:gridCol w:w="1712"/>
        <w:gridCol w:w="930"/>
        <w:gridCol w:w="240"/>
        <w:gridCol w:w="1712"/>
        <w:gridCol w:w="930"/>
        <w:gridCol w:w="236"/>
        <w:gridCol w:w="4"/>
        <w:gridCol w:w="1708"/>
        <w:gridCol w:w="930"/>
        <w:gridCol w:w="240"/>
        <w:gridCol w:w="1712"/>
        <w:gridCol w:w="930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209" w:type="dxa"/>
            <w:vMerge w:val="restart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  <w:vAlign w:val="center"/>
          </w:tcPr>
          <w:p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Variable</w:t>
            </w:r>
          </w:p>
        </w:tc>
        <w:tc>
          <w:tcPr>
            <w:tcW w:w="2642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  <w:vAlign w:val="center"/>
          </w:tcPr>
          <w:p>
            <w:pPr>
              <w:spacing w:before="0"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Univariate</w:t>
            </w:r>
          </w:p>
        </w:tc>
        <w:tc>
          <w:tcPr>
            <w:tcW w:w="240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color="000000" w:themeColor="text1" w:sz="8" w:space="0"/>
              <w:bottom w:val="single" w:color="auto" w:sz="4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Multivariate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(adjusted by T1a/b/c)</w:t>
            </w:r>
          </w:p>
        </w:tc>
        <w:tc>
          <w:tcPr>
            <w:tcW w:w="240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single" w:color="000000" w:themeColor="text1" w:sz="8" w:space="0"/>
              <w:bottom w:val="single" w:color="auto" w:sz="4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Multivariate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(adjusted by T1m/e)</w:t>
            </w:r>
          </w:p>
        </w:tc>
        <w:tc>
          <w:tcPr>
            <w:tcW w:w="240" w:type="dxa"/>
            <w:vMerge w:val="restart"/>
            <w:tcBorders>
              <w:top w:val="single" w:color="000000" w:themeColor="text1" w:sz="8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color="000000" w:themeColor="text1" w:sz="8" w:space="0"/>
              <w:bottom w:val="single" w:color="auto" w:sz="4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Multivariate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(adjusted by </w:t>
            </w: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COMB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3209" w:type="dxa"/>
            <w:vMerge w:val="continue"/>
            <w:tcBorders>
              <w:left w:val="nil"/>
              <w:bottom w:val="single" w:color="auto" w:sz="4" w:space="0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bottom w:val="single" w:color="auto" w:sz="4" w:space="0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HR(95% CI)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BF"/>
                <w:sz w:val="20"/>
                <w:szCs w:val="20"/>
              </w:rPr>
              <w:t>p</w:t>
            </w: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HR(95% CI)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BF"/>
                <w:sz w:val="20"/>
                <w:szCs w:val="20"/>
              </w:rPr>
              <w:t>p</w:t>
            </w:r>
          </w:p>
        </w:tc>
        <w:tc>
          <w:tcPr>
            <w:tcW w:w="236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HR(95% CI)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BF"/>
                <w:sz w:val="20"/>
                <w:szCs w:val="20"/>
              </w:rPr>
              <w:t>p</w:t>
            </w:r>
          </w:p>
        </w:tc>
        <w:tc>
          <w:tcPr>
            <w:tcW w:w="240" w:type="dxa"/>
            <w:vMerge w:val="continue"/>
            <w:tcBorders>
              <w:bottom w:val="single" w:color="auto" w:sz="4" w:space="0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i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HR(95% CI)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p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Age</w:t>
            </w: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1.00(0.97-1.03)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0.881</w:t>
            </w: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tcBorders>
              <w:left w:val="nil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Gender (male as Ref.)</w:t>
            </w: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2.75(1.47-5.17)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0.002</w:t>
            </w: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4.35(2.24-8.42)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&lt;0.001</w:t>
            </w:r>
          </w:p>
        </w:tc>
        <w:tc>
          <w:tcPr>
            <w:tcW w:w="236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4.69(2.43-9.57)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&lt;0.001</w:t>
            </w: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inorEastAsia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4.28(2.21-8.28)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inorEastAsia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>&lt;0.001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S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  <w:lang w:val="en-US" w:eastAsia="zh-CN"/>
              </w:rPr>
              <w:t>mo</w:t>
            </w: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king (no as Ref.)</w:t>
            </w: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0.58(0.30-1.12)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0.106</w:t>
            </w: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tcBorders>
              <w:left w:val="nil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Tumor number (si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  <w:lang w:val="en-US" w:eastAsia="zh-CN"/>
              </w:rPr>
              <w:t>ng</w:t>
            </w: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le as Ref.)</w:t>
            </w: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2.43(1.31-4.49)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0.005</w:t>
            </w: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2.52(1.33-4.77)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0.005</w:t>
            </w:r>
          </w:p>
        </w:tc>
        <w:tc>
          <w:tcPr>
            <w:tcW w:w="236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2.12(1.13-3.97)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0.020</w:t>
            </w: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inorEastAsia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2.52(1.33-4.76)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inorEastAsia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>0.005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Tumor size (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3cm as Ref.)</w:t>
            </w: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0.51(0.18-1.42)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0.198</w:t>
            </w: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tcBorders>
              <w:left w:val="nil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LVI (no as Ref.)</w:t>
            </w: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3.99(1.69-9.44)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0.002</w:t>
            </w: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12.1(4.55-32.4)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&lt;0.001</w:t>
            </w:r>
          </w:p>
        </w:tc>
        <w:tc>
          <w:tcPr>
            <w:tcW w:w="236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8.40(3.22-21.9)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&lt;0.001</w:t>
            </w: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inorEastAsia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8.75(3.39-22.6)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inorEastAsia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>&lt;0.001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CIS (no as Ref.)</w:t>
            </w: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2.19(1.18-4.07)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0.012</w:t>
            </w: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2.81(1.41-5.62)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0.004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2.34(1.18-4.74)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0.015</w:t>
            </w: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inorEastAsia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2.01(1.03-3.94)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inorEastAsia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>0.041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tcBorders>
              <w:left w:val="nil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VH (no as Ref.)</w:t>
            </w: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1.56(0.73-3.34)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0.255</w:t>
            </w: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Re-TUBBT (no as Ref.)</w:t>
            </w: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1.19(0.56-2.57)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0.642</w:t>
            </w: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tcBorders>
              <w:left w:val="nil"/>
              <w:right w:val="nil"/>
              <w:insideV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 xml:space="preserve">Residual disease at Re-TURBt </w:t>
            </w:r>
          </w:p>
          <w:p>
            <w:pPr>
              <w:ind w:firstLine="201" w:firstLineChars="100"/>
              <w:jc w:val="left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(no as Ref.)</w:t>
            </w: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1.31(0.65-2.65)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0.447</w:t>
            </w: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 xml:space="preserve">Instillation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</w:t>
            </w: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ru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gs</w:t>
            </w: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 xml:space="preserve"> (BCG as ref.)</w:t>
            </w:r>
          </w:p>
          <w:p>
            <w:pPr>
              <w:ind w:firstLine="201" w:firstLineChars="100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BCG+Chemotherapy</w:t>
            </w:r>
          </w:p>
          <w:p>
            <w:pPr>
              <w:ind w:firstLine="201" w:firstLineChars="100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Chemotherapy</w:t>
            </w:r>
            <w:bookmarkStart w:id="0" w:name="_GoBack"/>
            <w:bookmarkEnd w:id="0"/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1.06(0.47-2.34)</w:t>
            </w:r>
          </w:p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1.29(0.68-2.47)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0.884</w:t>
            </w:r>
          </w:p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0.437</w:t>
            </w: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tcBorders>
              <w:left w:val="nil"/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T1a/b/c substaging (T1a/b as Ref.)</w:t>
            </w: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2.31(1.27-4.21)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0.006</w:t>
            </w: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2.72(1.45-5.12)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0.002</w:t>
            </w:r>
          </w:p>
        </w:tc>
        <w:tc>
          <w:tcPr>
            <w:tcW w:w="236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—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—</w:t>
            </w:r>
          </w:p>
        </w:tc>
        <w:tc>
          <w:tcPr>
            <w:tcW w:w="24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—</w:t>
            </w:r>
          </w:p>
        </w:tc>
        <w:tc>
          <w:tcPr>
            <w:tcW w:w="930" w:type="dxa"/>
            <w:tcBorders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0"/>
                <w:szCs w:val="20"/>
              </w:rPr>
              <w:t>T1 m/e substaging (T1m as Ref.)</w:t>
            </w: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3.23(1.27-8.16)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0.013</w:t>
            </w: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—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—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0"/>
                <w:szCs w:val="20"/>
              </w:rPr>
              <w:t>2.88(1.09-7.65)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  <w:t>0.033</w:t>
            </w: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—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COMB(T1a/b&amp;T1m as Ref.)</w:t>
            </w:r>
          </w:p>
          <w:p>
            <w:pPr>
              <w:ind w:firstLine="201" w:firstLineChars="100"/>
              <w:rPr>
                <w:rFonts w:hint="eastAsia" w:ascii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T1a/b&amp;T1e</w:t>
            </w:r>
          </w:p>
          <w:p>
            <w:pPr>
              <w:ind w:firstLine="201" w:firstLineChars="100"/>
              <w:rPr>
                <w:rFonts w:hint="default" w:ascii="Times New Roman" w:hAnsi="Times New Roman" w:cs="Times New Roman" w:eastAsiaTheme="minorEastAsia"/>
                <w:b/>
                <w:bCs/>
                <w:color w:val="FF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T1c&amp;T1e</w:t>
            </w: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cs="Times New Roman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0"/>
                <w:szCs w:val="20"/>
                <w:lang w:val="en-US" w:eastAsia="zh-CN"/>
              </w:rPr>
              <w:t>2.75(1.05-7.18)</w:t>
            </w:r>
          </w:p>
          <w:p>
            <w:pPr>
              <w:rPr>
                <w:rFonts w:hint="default" w:ascii="Times New Roman" w:hAnsi="Times New Roman" w:cs="Times New Roman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0"/>
                <w:szCs w:val="20"/>
                <w:lang w:val="en-US" w:eastAsia="zh-CN"/>
              </w:rPr>
              <w:t>4.92(1.82-13.4)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>0.039</w:t>
            </w:r>
          </w:p>
          <w:p>
            <w:pP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>0.002</w:t>
            </w: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—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—</w:t>
            </w:r>
          </w:p>
        </w:tc>
        <w:tc>
          <w:tcPr>
            <w:tcW w:w="236" w:type="dxa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—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—</w:t>
            </w:r>
          </w:p>
        </w:tc>
        <w:tc>
          <w:tcPr>
            <w:tcW w:w="2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2.34(0.85-6.39)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5.23(1.83-14.9)</w:t>
            </w:r>
          </w:p>
        </w:tc>
        <w:tc>
          <w:tcPr>
            <w:tcW w:w="93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>0.069</w:t>
            </w:r>
          </w:p>
          <w:p>
            <w:pP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>0.003</w:t>
            </w:r>
          </w:p>
        </w:tc>
      </w:tr>
    </w:tbl>
    <w:p>
      <w:pPr>
        <w:widowControl/>
        <w:rPr>
          <w:szCs w:val="24"/>
        </w:rPr>
      </w:pPr>
      <w:r>
        <w:rPr>
          <w:rFonts w:hint="eastAsia" w:ascii="Times New Roman" w:hAnsi="Times New Roman" w:cs="Times New Roman"/>
          <w:b w:val="0"/>
          <w:bCs/>
          <w:color w:val="FF0000"/>
          <w:sz w:val="20"/>
          <w:szCs w:val="20"/>
          <w:lang w:val="en-US" w:eastAsia="zh-CN"/>
        </w:rPr>
        <w:t>LVI: lymphovascular invasion; CIS: carcinoma in situ; VH: variant histology; COMB: variable that combines T1a/b/c and T1m/e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Neue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TIX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5ZjEyYTJmY2ZlYmY4OTRhZDc5MzYxYzk2MGUwZGIifQ=="/>
  </w:docVars>
  <w:rsids>
    <w:rsidRoot w:val="000A52FA"/>
    <w:rsid w:val="00003E3E"/>
    <w:rsid w:val="00005D16"/>
    <w:rsid w:val="000125BB"/>
    <w:rsid w:val="00030549"/>
    <w:rsid w:val="000614E0"/>
    <w:rsid w:val="00075629"/>
    <w:rsid w:val="0009195B"/>
    <w:rsid w:val="000A52FA"/>
    <w:rsid w:val="000B6319"/>
    <w:rsid w:val="000C4680"/>
    <w:rsid w:val="000D08A0"/>
    <w:rsid w:val="000D14D4"/>
    <w:rsid w:val="00103089"/>
    <w:rsid w:val="00130900"/>
    <w:rsid w:val="00134DA7"/>
    <w:rsid w:val="0015469B"/>
    <w:rsid w:val="0016101E"/>
    <w:rsid w:val="00180AAB"/>
    <w:rsid w:val="00192C52"/>
    <w:rsid w:val="001965F2"/>
    <w:rsid w:val="001C642D"/>
    <w:rsid w:val="00215B3F"/>
    <w:rsid w:val="00226737"/>
    <w:rsid w:val="0025698A"/>
    <w:rsid w:val="00260794"/>
    <w:rsid w:val="00265CF3"/>
    <w:rsid w:val="0029663E"/>
    <w:rsid w:val="002C09BE"/>
    <w:rsid w:val="00307112"/>
    <w:rsid w:val="00324579"/>
    <w:rsid w:val="003379FD"/>
    <w:rsid w:val="00357EFB"/>
    <w:rsid w:val="00376F9A"/>
    <w:rsid w:val="00381E13"/>
    <w:rsid w:val="003822AE"/>
    <w:rsid w:val="00382A7E"/>
    <w:rsid w:val="00390A90"/>
    <w:rsid w:val="003929F3"/>
    <w:rsid w:val="003A4568"/>
    <w:rsid w:val="003B0DE8"/>
    <w:rsid w:val="003B6345"/>
    <w:rsid w:val="003D2CB6"/>
    <w:rsid w:val="003E3D25"/>
    <w:rsid w:val="003E6BF5"/>
    <w:rsid w:val="003F2725"/>
    <w:rsid w:val="003F6475"/>
    <w:rsid w:val="00443EB7"/>
    <w:rsid w:val="00452486"/>
    <w:rsid w:val="00455569"/>
    <w:rsid w:val="00457C4A"/>
    <w:rsid w:val="00464048"/>
    <w:rsid w:val="00466A45"/>
    <w:rsid w:val="00474398"/>
    <w:rsid w:val="004B0926"/>
    <w:rsid w:val="004B7C30"/>
    <w:rsid w:val="004D6C0B"/>
    <w:rsid w:val="004F0421"/>
    <w:rsid w:val="005060F0"/>
    <w:rsid w:val="005066FA"/>
    <w:rsid w:val="00547E83"/>
    <w:rsid w:val="00565754"/>
    <w:rsid w:val="005664FF"/>
    <w:rsid w:val="00581A76"/>
    <w:rsid w:val="005841A8"/>
    <w:rsid w:val="00592151"/>
    <w:rsid w:val="00596714"/>
    <w:rsid w:val="005E017C"/>
    <w:rsid w:val="00603B17"/>
    <w:rsid w:val="00644547"/>
    <w:rsid w:val="00660595"/>
    <w:rsid w:val="0066447D"/>
    <w:rsid w:val="00675D2E"/>
    <w:rsid w:val="0067681F"/>
    <w:rsid w:val="006D3D94"/>
    <w:rsid w:val="006D5F7A"/>
    <w:rsid w:val="00717770"/>
    <w:rsid w:val="00720EE8"/>
    <w:rsid w:val="007405ED"/>
    <w:rsid w:val="00767631"/>
    <w:rsid w:val="007743B1"/>
    <w:rsid w:val="00782B54"/>
    <w:rsid w:val="007903D0"/>
    <w:rsid w:val="007B5B68"/>
    <w:rsid w:val="007B7379"/>
    <w:rsid w:val="007C5D1F"/>
    <w:rsid w:val="00847622"/>
    <w:rsid w:val="00850129"/>
    <w:rsid w:val="0086364E"/>
    <w:rsid w:val="008669F4"/>
    <w:rsid w:val="00873C20"/>
    <w:rsid w:val="00877384"/>
    <w:rsid w:val="00891D61"/>
    <w:rsid w:val="008A7874"/>
    <w:rsid w:val="008B09E6"/>
    <w:rsid w:val="00902F83"/>
    <w:rsid w:val="00926081"/>
    <w:rsid w:val="0093335D"/>
    <w:rsid w:val="009344BC"/>
    <w:rsid w:val="00950C53"/>
    <w:rsid w:val="009552CF"/>
    <w:rsid w:val="0097360A"/>
    <w:rsid w:val="0097389B"/>
    <w:rsid w:val="009A16C2"/>
    <w:rsid w:val="009A5E0F"/>
    <w:rsid w:val="009D16F5"/>
    <w:rsid w:val="009D43D6"/>
    <w:rsid w:val="009F0A0E"/>
    <w:rsid w:val="009F52EB"/>
    <w:rsid w:val="00A11A4B"/>
    <w:rsid w:val="00A15005"/>
    <w:rsid w:val="00A31CD1"/>
    <w:rsid w:val="00A366F6"/>
    <w:rsid w:val="00A36851"/>
    <w:rsid w:val="00A61020"/>
    <w:rsid w:val="00A618F4"/>
    <w:rsid w:val="00A67844"/>
    <w:rsid w:val="00A93D6E"/>
    <w:rsid w:val="00A947C3"/>
    <w:rsid w:val="00A95285"/>
    <w:rsid w:val="00AA1813"/>
    <w:rsid w:val="00AA7140"/>
    <w:rsid w:val="00AB019C"/>
    <w:rsid w:val="00AB3A81"/>
    <w:rsid w:val="00AB41FE"/>
    <w:rsid w:val="00AE2670"/>
    <w:rsid w:val="00AF0711"/>
    <w:rsid w:val="00AF518E"/>
    <w:rsid w:val="00AF7D7A"/>
    <w:rsid w:val="00B13238"/>
    <w:rsid w:val="00B24634"/>
    <w:rsid w:val="00B40302"/>
    <w:rsid w:val="00B4188D"/>
    <w:rsid w:val="00B53FD9"/>
    <w:rsid w:val="00B57A50"/>
    <w:rsid w:val="00B819EC"/>
    <w:rsid w:val="00B85272"/>
    <w:rsid w:val="00B9095D"/>
    <w:rsid w:val="00B90E21"/>
    <w:rsid w:val="00B97E9F"/>
    <w:rsid w:val="00BD200A"/>
    <w:rsid w:val="00BF0040"/>
    <w:rsid w:val="00BF141D"/>
    <w:rsid w:val="00BF5495"/>
    <w:rsid w:val="00BF5ADD"/>
    <w:rsid w:val="00C01AE1"/>
    <w:rsid w:val="00C02A9C"/>
    <w:rsid w:val="00C07303"/>
    <w:rsid w:val="00C63A08"/>
    <w:rsid w:val="00C744BE"/>
    <w:rsid w:val="00C95150"/>
    <w:rsid w:val="00CA2388"/>
    <w:rsid w:val="00CB6A69"/>
    <w:rsid w:val="00CC7096"/>
    <w:rsid w:val="00CC775A"/>
    <w:rsid w:val="00CE065B"/>
    <w:rsid w:val="00CE7C69"/>
    <w:rsid w:val="00CF7A59"/>
    <w:rsid w:val="00D03415"/>
    <w:rsid w:val="00D60B23"/>
    <w:rsid w:val="00D63345"/>
    <w:rsid w:val="00D71C6B"/>
    <w:rsid w:val="00D74B8A"/>
    <w:rsid w:val="00D7675A"/>
    <w:rsid w:val="00D77EFD"/>
    <w:rsid w:val="00DA7078"/>
    <w:rsid w:val="00DB0046"/>
    <w:rsid w:val="00DD0BD9"/>
    <w:rsid w:val="00DD4873"/>
    <w:rsid w:val="00DF2B53"/>
    <w:rsid w:val="00E07F03"/>
    <w:rsid w:val="00E43EF3"/>
    <w:rsid w:val="00E949AF"/>
    <w:rsid w:val="00ED214F"/>
    <w:rsid w:val="00F01610"/>
    <w:rsid w:val="00F147C1"/>
    <w:rsid w:val="00F31DF4"/>
    <w:rsid w:val="00F3667D"/>
    <w:rsid w:val="00F44603"/>
    <w:rsid w:val="00F73B3E"/>
    <w:rsid w:val="00F766BA"/>
    <w:rsid w:val="00FC14E2"/>
    <w:rsid w:val="00FC1818"/>
    <w:rsid w:val="00FC29AC"/>
    <w:rsid w:val="00FC2FB3"/>
    <w:rsid w:val="00FC3E18"/>
    <w:rsid w:val="00FE1DBB"/>
    <w:rsid w:val="00FE2637"/>
    <w:rsid w:val="00FF5D8A"/>
    <w:rsid w:val="176172D6"/>
    <w:rsid w:val="1A98475D"/>
    <w:rsid w:val="262B4E33"/>
    <w:rsid w:val="3CAD4109"/>
    <w:rsid w:val="56B10A52"/>
    <w:rsid w:val="5DE35491"/>
    <w:rsid w:val="70BA349B"/>
    <w:rsid w:val="7E61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table" w:customStyle="1" w:styleId="9">
    <w:name w:val="浅色底纹1"/>
    <w:basedOn w:val="5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skip"/>
    <w:basedOn w:val="7"/>
    <w:qFormat/>
    <w:uiPriority w:val="0"/>
  </w:style>
  <w:style w:type="character" w:customStyle="1" w:styleId="12">
    <w:name w:val="apple-converted-space"/>
    <w:basedOn w:val="7"/>
    <w:qFormat/>
    <w:uiPriority w:val="0"/>
  </w:style>
  <w:style w:type="paragraph" w:customStyle="1" w:styleId="13">
    <w:name w:val="src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fontstyle01"/>
    <w:basedOn w:val="7"/>
    <w:qFormat/>
    <w:uiPriority w:val="0"/>
    <w:rPr>
      <w:rFonts w:hint="default" w:ascii="HelveticaNeue-Bold" w:hAnsi="HelveticaNeue-Bold"/>
      <w:b/>
      <w:bCs/>
      <w:color w:val="000000"/>
      <w:sz w:val="18"/>
      <w:szCs w:val="18"/>
    </w:rPr>
  </w:style>
  <w:style w:type="character" w:customStyle="1" w:styleId="15">
    <w:name w:val="fontstyle21"/>
    <w:basedOn w:val="7"/>
    <w:qFormat/>
    <w:uiPriority w:val="0"/>
    <w:rPr>
      <w:rFonts w:hint="default" w:ascii="STIX-Italic" w:hAnsi="STIX-Italic"/>
      <w:i/>
      <w:iCs/>
      <w:color w:val="000000"/>
      <w:sz w:val="18"/>
      <w:szCs w:val="18"/>
    </w:rPr>
  </w:style>
  <w:style w:type="character" w:customStyle="1" w:styleId="16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404</Words>
  <Characters>2712</Characters>
  <Lines>17</Lines>
  <Paragraphs>4</Paragraphs>
  <TotalTime>2</TotalTime>
  <ScaleCrop>false</ScaleCrop>
  <LinksUpToDate>false</LinksUpToDate>
  <CharactersWithSpaces>2891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2020-06-20T14:42:00Z</dcterms:created>
  <dc:creator>fdgITACHI</dc:creator>
  <cp:lastModifiedBy>杨涛</cp:lastModifiedBy>
  <dcterms:modified xsi:type="dcterms:W3CDTF">2022-04-27T12:56:14Z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4179F3CC37254C5A8800F8C7794FB78D</vt:lpwstr>
  </property>
</Properties>
</file>