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Supplementary Table</w:t>
      </w:r>
      <w:r>
        <w:rPr>
          <w:rFonts w:hint="eastAsia" w:ascii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Univariate and multivariate Cox proportional hazard analysis of recurrence-free survival in patients with T1HG NMIBC</w:t>
      </w:r>
    </w:p>
    <w:tbl>
      <w:tblPr>
        <w:tblStyle w:val="9"/>
        <w:tblW w:w="14495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710"/>
        <w:gridCol w:w="930"/>
        <w:gridCol w:w="240"/>
        <w:gridCol w:w="1712"/>
        <w:gridCol w:w="930"/>
        <w:gridCol w:w="240"/>
        <w:gridCol w:w="1712"/>
        <w:gridCol w:w="930"/>
        <w:gridCol w:w="238"/>
        <w:gridCol w:w="1712"/>
        <w:gridCol w:w="930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211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Variable</w:t>
            </w:r>
          </w:p>
        </w:tc>
        <w:tc>
          <w:tcPr>
            <w:tcW w:w="264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Univariate</w:t>
            </w:r>
          </w:p>
        </w:tc>
        <w:tc>
          <w:tcPr>
            <w:tcW w:w="240" w:type="dxa"/>
            <w:vMerge w:val="restart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(adjusted by T1a/b/c)</w:t>
            </w:r>
          </w:p>
        </w:tc>
        <w:tc>
          <w:tcPr>
            <w:tcW w:w="240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(adjusted by T1m/e)</w:t>
            </w:r>
          </w:p>
        </w:tc>
        <w:tc>
          <w:tcPr>
            <w:tcW w:w="238" w:type="dxa"/>
            <w:vMerge w:val="restart"/>
            <w:tcBorders>
              <w:top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(adjusted by 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COMB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211" w:type="dxa"/>
            <w:vMerge w:val="continue"/>
            <w:tcBorders>
              <w:left w:val="nil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38" w:type="dxa"/>
            <w:vMerge w:val="continue"/>
            <w:tcBorders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Age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0.99(0.96-1.00)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0.184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Gender (male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1.67(0.95-2.92)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0.072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2.04(1.15-3.61)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0.015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2.59(1.45-4.62)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0.001</w:t>
            </w: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>2.29(1.28-4.11)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oking (no as Ref.)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0.79(0.48-1.30)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0.356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Tumor number (si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gle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2.54(1.54-4.18)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2.36(1.42-3.94)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2.02(1.22-3.36)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0.007</w:t>
            </w: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  <w:t>2.26(1.35-3.77)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Tumor size (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 w:themeShade="BF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3cm as Ref.)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0.61(0.28-1.34)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0.219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LVI (no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2.59(1.12-6.00)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0.026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4.32(1.76-10.6)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3.60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(1.</w:t>
            </w: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8.74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 w:cs="Times New Roman"/>
                <w:b/>
                <w:color w:val="000000" w:themeColor="text1" w:themeShade="BF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  <w:t>4.52(1.83-11.1)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CIS (no as Ref.)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2.01(1.23-3.28)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0.005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1.92(1.14-3.22)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0.014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70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1.01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-2.</w:t>
            </w:r>
            <w:r>
              <w:rPr>
                <w:rFonts w:hint="eastAsia" w:ascii="Times New Roman" w:hAnsi="Times New Roman" w:cs="Times New Roman"/>
                <w:color w:val="000000" w:themeColor="text1" w:themeShade="BF"/>
                <w:sz w:val="20"/>
                <w:szCs w:val="20"/>
                <w:lang w:val="en-US" w:eastAsia="zh-CN"/>
              </w:rPr>
              <w:t>89</w:t>
            </w: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000000" w:themeColor="text1" w:themeShade="BF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</w:t>
            </w:r>
            <w:r>
              <w:rPr>
                <w:rFonts w:hint="eastAsia" w:ascii="Times New Roman" w:hAnsi="Times New Roman" w:cs="Times New Roman"/>
                <w:b/>
                <w:color w:val="000000" w:themeColor="text1" w:themeShade="BF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  <w:t>1.72(1.02-2.92)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0.043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VH (no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0.88(0.42-1.84)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0.741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Re-TUBBT (no as Ref.)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1.28(0.69-2.38)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0.439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Residual disease at Re-TURBt</w:t>
            </w:r>
          </w:p>
          <w:p>
            <w:pPr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(no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1.35(0.76-2.37)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0.304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 xml:space="preserve">Instillation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ru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 xml:space="preserve"> (BCG as ref.)</w:t>
            </w:r>
          </w:p>
          <w:p>
            <w:pPr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BCG+Chemotherapy</w:t>
            </w:r>
          </w:p>
          <w:p>
            <w:pPr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Chemotherapy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1.04(0.54-2.03)</w:t>
            </w: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1.39(0.83-2.34)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0.899</w:t>
            </w: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0.209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T1a/b/c substaging (T1a/b as Ref.)</w:t>
            </w:r>
          </w:p>
        </w:tc>
        <w:tc>
          <w:tcPr>
            <w:tcW w:w="171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2.46(1.51-3.99)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2.88(1.74-4.77)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238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T1 m/e substaging (T1m as Ref.)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3.88(1.78-8.47)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0.001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2.82(1.26-6.31)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0.012</w:t>
            </w: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COMB(T1a/b&amp;T1m as Ref.)</w:t>
            </w:r>
          </w:p>
          <w:p>
            <w:pPr>
              <w:ind w:firstLine="201" w:firstLineChars="100"/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T1a/b&amp;T1e</w:t>
            </w:r>
          </w:p>
          <w:p>
            <w:pPr>
              <w:ind w:firstLine="201" w:firstLineChars="100"/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T1c&amp;T1e</w:t>
            </w:r>
          </w:p>
        </w:tc>
        <w:tc>
          <w:tcPr>
            <w:tcW w:w="171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>3.16(1.41-7.08)</w:t>
            </w:r>
          </w:p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>5.78(2.51-13.3)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0.005</w:t>
            </w:r>
          </w:p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&lt;0.001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24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238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  <w:t>2.42(1.04-5.65)</w:t>
            </w:r>
          </w:p>
          <w:p>
            <w:pP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0"/>
                <w:szCs w:val="20"/>
                <w:lang w:val="en-US" w:eastAsia="zh-CN"/>
              </w:rPr>
              <w:t>5.78(2.31-12.9)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0.041</w:t>
            </w:r>
          </w:p>
          <w:p>
            <w:pP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&lt;0.001</w:t>
            </w:r>
          </w:p>
        </w:tc>
      </w:tr>
    </w:tbl>
    <w:p>
      <w:pPr>
        <w:widowControl/>
        <w:rPr>
          <w:rFonts w:hint="default" w:ascii="Times New Roman" w:hAnsi="Times New Roman" w:cs="Times New Roman"/>
          <w:b w:val="0"/>
          <w:bCs/>
          <w:color w:val="FF000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FF0000"/>
          <w:sz w:val="20"/>
          <w:szCs w:val="20"/>
          <w:lang w:val="en-US" w:eastAsia="zh-CN"/>
        </w:rPr>
        <w:t>LVI: lymphovascular invasion; CIS: carcinoma in situ; VH: v</w:t>
      </w:r>
      <w:r>
        <w:rPr>
          <w:rFonts w:hint="eastAsia" w:ascii="Times New Roman" w:hAnsi="Times New Roman" w:cs="Times New Roman"/>
          <w:b w:val="0"/>
          <w:bCs/>
          <w:color w:val="FF0000"/>
          <w:sz w:val="20"/>
          <w:szCs w:val="20"/>
          <w:lang w:val="en-US" w:eastAsia="zh-CN"/>
        </w:rPr>
        <w:t>ariant histology; COMB: variable that combines T1a/b/c and T1m/e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>
        <w:rPr>
          <w:rFonts w:hint="eastAsia"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Univariate and multivariate Cox proportional hazard analysis of progression-free survival in patients with T1HG NMIBC</w:t>
      </w:r>
    </w:p>
    <w:tbl>
      <w:tblPr>
        <w:tblStyle w:val="9"/>
        <w:tblW w:w="14493" w:type="dxa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1712"/>
        <w:gridCol w:w="930"/>
        <w:gridCol w:w="240"/>
        <w:gridCol w:w="1712"/>
        <w:gridCol w:w="930"/>
        <w:gridCol w:w="236"/>
        <w:gridCol w:w="4"/>
        <w:gridCol w:w="1708"/>
        <w:gridCol w:w="930"/>
        <w:gridCol w:w="240"/>
        <w:gridCol w:w="1712"/>
        <w:gridCol w:w="930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209" w:type="dxa"/>
            <w:vMerge w:val="restart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Variable</w:t>
            </w: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Univariate</w:t>
            </w:r>
          </w:p>
        </w:tc>
        <w:tc>
          <w:tcPr>
            <w:tcW w:w="240" w:type="dxa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(adjusted by T1a/b/c)</w:t>
            </w:r>
          </w:p>
        </w:tc>
        <w:tc>
          <w:tcPr>
            <w:tcW w:w="240" w:type="dxa"/>
            <w:gridSpan w:val="2"/>
            <w:tcBorders>
              <w:top w:val="single" w:color="000000" w:themeColor="text1" w:sz="8" w:space="0"/>
              <w:bottom w:val="single" w:color="000000" w:themeColor="text1" w:sz="8" w:space="0"/>
              <w:right w:val="nil"/>
              <w:insideH w:val="single" w:sz="8" w:space="0"/>
              <w:insideV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(adjusted by T1m/e)</w:t>
            </w:r>
          </w:p>
        </w:tc>
        <w:tc>
          <w:tcPr>
            <w:tcW w:w="240" w:type="dxa"/>
            <w:vMerge w:val="restart"/>
            <w:tcBorders>
              <w:top w:val="single" w:color="000000" w:themeColor="text1" w:sz="8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color="000000" w:themeColor="text1" w:sz="8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Multivariate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(adjusted by 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COMB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209" w:type="dxa"/>
            <w:vMerge w:val="continue"/>
            <w:tcBorders>
              <w:left w:val="nil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  <w:t>p</w:t>
            </w:r>
          </w:p>
        </w:tc>
        <w:tc>
          <w:tcPr>
            <w:tcW w:w="240" w:type="dxa"/>
            <w:vMerge w:val="continue"/>
            <w:tcBorders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i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HR(95% CI)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p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Age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1.00(0.97-1.03)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0.881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Gender (male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2.75(1.47-5.17)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0.002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4.35(2.24-8.42)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4.69(2.43-9.57)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4.28(2.21-8.28)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S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mo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king (no as Ref.)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0.58(0.30-1.12)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0.106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Tumor number (si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  <w:lang w:val="en-US" w:eastAsia="zh-CN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le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2.43(1.31-4.49)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0.005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2.52(1.33-4.77)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0.005</w:t>
            </w: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2.12(1.13-3.97)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0.020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2.52(1.33-4.76)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Tumor size (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 w:themeShade="BF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3cm as Ref.)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0.51(0.18-1.42)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0.198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LVI (no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3.99(1.69-9.44)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0.002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12.1(4.55-32.4)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8.40(3.22-21.9)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&lt;0.001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8.75(3.39-22.6)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&lt;0.001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CIS (no as Ref.)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2.19(1.18-4.07)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0.012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2.81(1.41-5.62)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0.004</w:t>
            </w: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2.34(1.18-4.74)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0.015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2.01(1.03-3.94)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hint="default" w:ascii="Times New Roman" w:hAnsi="Times New Roman" w:cs="Times New Roman" w:eastAsiaTheme="minorEastAsia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0.041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VH (no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1.56(0.73-3.34)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0.255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Re-TUBBT (no as Ref.)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1.19(0.56-2.57)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0.642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 xml:space="preserve">Residual disease at Re-TURBt </w:t>
            </w:r>
          </w:p>
          <w:p>
            <w:pPr>
              <w:ind w:firstLine="201" w:firstLineChars="100"/>
              <w:jc w:val="left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(no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1.31(0.65-2.65)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0.447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 xml:space="preserve">Instillation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ru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 xml:space="preserve"> (BCG as ref.)</w:t>
            </w:r>
          </w:p>
          <w:p>
            <w:pPr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BCG+Chemotherapy</w:t>
            </w:r>
          </w:p>
          <w:p>
            <w:pPr>
              <w:ind w:firstLine="201" w:firstLineChars="100"/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Chemotherapy</w:t>
            </w:r>
            <w:bookmarkStart w:id="0" w:name="_GoBack"/>
            <w:bookmarkEnd w:id="0"/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1.06(0.47-2.34)</w:t>
            </w: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1.29(0.68-2.47)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0.884</w:t>
            </w:r>
          </w:p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0.437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nil"/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T1a/b/c substaging (T1a/b as Ref.)</w:t>
            </w: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2.31(1.27-4.21)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0.006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2.72(1.45-5.12)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0.002</w:t>
            </w:r>
          </w:p>
        </w:tc>
        <w:tc>
          <w:tcPr>
            <w:tcW w:w="236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240" w:type="dxa"/>
            <w:tcBorders>
              <w:right w:val="nil"/>
              <w:insideV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tcBorders>
              <w:right w:val="nil"/>
              <w:insideV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 w:themeShade="BF"/>
                <w:sz w:val="20"/>
                <w:szCs w:val="20"/>
              </w:rPr>
              <w:t>T1 m/e substaging (T1m as Ref.)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3.23(1.27-8.16)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0.013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—</w:t>
            </w:r>
          </w:p>
        </w:tc>
        <w:tc>
          <w:tcPr>
            <w:tcW w:w="2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 w:themeShade="BF"/>
                <w:sz w:val="20"/>
                <w:szCs w:val="20"/>
              </w:rPr>
              <w:t>2.88(1.09-7.65)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  <w:t>0.033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COMB(T1a/b&amp;T1m as Ref.)</w:t>
            </w:r>
          </w:p>
          <w:p>
            <w:pPr>
              <w:ind w:firstLine="201" w:firstLineChars="100"/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T1a/b&amp;T1e</w:t>
            </w:r>
          </w:p>
          <w:p>
            <w:pPr>
              <w:ind w:firstLine="201" w:firstLineChars="100"/>
              <w:rPr>
                <w:rFonts w:hint="default" w:ascii="Times New Roman" w:hAnsi="Times New Roman" w:cs="Times New Roman" w:eastAsiaTheme="minorEastAsia"/>
                <w:b/>
                <w:bCs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zh-CN"/>
              </w:rPr>
              <w:t>T1c&amp;T1e</w:t>
            </w: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>2.75(1.05-7.18)</w:t>
            </w:r>
          </w:p>
          <w:p>
            <w:pPr>
              <w:rPr>
                <w:rFonts w:hint="default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>4.92(1.82-13.4)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0.039</w:t>
            </w:r>
          </w:p>
          <w:p>
            <w:pP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0.002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—</w:t>
            </w:r>
          </w:p>
        </w:tc>
        <w:tc>
          <w:tcPr>
            <w:tcW w:w="2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2.34(0.85-6.39)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0"/>
                <w:szCs w:val="20"/>
                <w:lang w:val="en-US" w:eastAsia="zh-CN"/>
              </w:rPr>
              <w:t>5.23(1.83-14.9)</w:t>
            </w:r>
          </w:p>
        </w:tc>
        <w:tc>
          <w:tcPr>
            <w:tcW w:w="93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0.069</w:t>
            </w:r>
          </w:p>
          <w:p>
            <w:pPr>
              <w:rPr>
                <w:rFonts w:hint="default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  <w:lang w:val="en-US" w:eastAsia="zh-CN"/>
              </w:rPr>
              <w:t>0.003</w:t>
            </w:r>
          </w:p>
        </w:tc>
      </w:tr>
    </w:tbl>
    <w:p>
      <w:pPr>
        <w:widowControl/>
        <w:rPr>
          <w:szCs w:val="24"/>
        </w:rPr>
      </w:pPr>
      <w:r>
        <w:rPr>
          <w:rFonts w:hint="eastAsia" w:ascii="Times New Roman" w:hAnsi="Times New Roman" w:cs="Times New Roman"/>
          <w:b w:val="0"/>
          <w:bCs/>
          <w:color w:val="FF0000"/>
          <w:sz w:val="20"/>
          <w:szCs w:val="20"/>
          <w:lang w:val="en-US" w:eastAsia="zh-CN"/>
        </w:rPr>
        <w:t>LVI: lymphovascular invasion; CIS: carcinoma in situ; VH: variant histology; COMB: variable that combines T1a/b/c and T1m/e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Neue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TIX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5ZjEyYTJmY2ZlYmY4OTRhZDc5MzYxYzk2MGUwZGIifQ=="/>
  </w:docVars>
  <w:rsids>
    <w:rsidRoot w:val="000A52FA"/>
    <w:rsid w:val="00003E3E"/>
    <w:rsid w:val="00005D16"/>
    <w:rsid w:val="000125BB"/>
    <w:rsid w:val="00030549"/>
    <w:rsid w:val="000614E0"/>
    <w:rsid w:val="00075629"/>
    <w:rsid w:val="0009195B"/>
    <w:rsid w:val="000A52FA"/>
    <w:rsid w:val="000B6319"/>
    <w:rsid w:val="000C4680"/>
    <w:rsid w:val="000D08A0"/>
    <w:rsid w:val="000D14D4"/>
    <w:rsid w:val="00103089"/>
    <w:rsid w:val="00130900"/>
    <w:rsid w:val="00134DA7"/>
    <w:rsid w:val="0015469B"/>
    <w:rsid w:val="0016101E"/>
    <w:rsid w:val="00180AAB"/>
    <w:rsid w:val="00192C52"/>
    <w:rsid w:val="001965F2"/>
    <w:rsid w:val="001C642D"/>
    <w:rsid w:val="00215B3F"/>
    <w:rsid w:val="00226737"/>
    <w:rsid w:val="0025698A"/>
    <w:rsid w:val="00260794"/>
    <w:rsid w:val="00265CF3"/>
    <w:rsid w:val="0029663E"/>
    <w:rsid w:val="002C09BE"/>
    <w:rsid w:val="00307112"/>
    <w:rsid w:val="00324579"/>
    <w:rsid w:val="003379FD"/>
    <w:rsid w:val="00357EFB"/>
    <w:rsid w:val="00376F9A"/>
    <w:rsid w:val="00381E13"/>
    <w:rsid w:val="003822AE"/>
    <w:rsid w:val="00382A7E"/>
    <w:rsid w:val="00390A90"/>
    <w:rsid w:val="003929F3"/>
    <w:rsid w:val="003A4568"/>
    <w:rsid w:val="003B0DE8"/>
    <w:rsid w:val="003B6345"/>
    <w:rsid w:val="003D2CB6"/>
    <w:rsid w:val="003E3D25"/>
    <w:rsid w:val="003E6BF5"/>
    <w:rsid w:val="003F2725"/>
    <w:rsid w:val="003F6475"/>
    <w:rsid w:val="00443EB7"/>
    <w:rsid w:val="00452486"/>
    <w:rsid w:val="00455569"/>
    <w:rsid w:val="00457C4A"/>
    <w:rsid w:val="00464048"/>
    <w:rsid w:val="00466A45"/>
    <w:rsid w:val="00474398"/>
    <w:rsid w:val="004B0926"/>
    <w:rsid w:val="004B7C30"/>
    <w:rsid w:val="004D6C0B"/>
    <w:rsid w:val="004F0421"/>
    <w:rsid w:val="005060F0"/>
    <w:rsid w:val="005066FA"/>
    <w:rsid w:val="00547E83"/>
    <w:rsid w:val="00565754"/>
    <w:rsid w:val="005664FF"/>
    <w:rsid w:val="00581A76"/>
    <w:rsid w:val="005841A8"/>
    <w:rsid w:val="00592151"/>
    <w:rsid w:val="00596714"/>
    <w:rsid w:val="005E017C"/>
    <w:rsid w:val="00603B17"/>
    <w:rsid w:val="00644547"/>
    <w:rsid w:val="00660595"/>
    <w:rsid w:val="0066447D"/>
    <w:rsid w:val="00675D2E"/>
    <w:rsid w:val="0067681F"/>
    <w:rsid w:val="006D3D94"/>
    <w:rsid w:val="006D5F7A"/>
    <w:rsid w:val="00717770"/>
    <w:rsid w:val="00720EE8"/>
    <w:rsid w:val="007405ED"/>
    <w:rsid w:val="00767631"/>
    <w:rsid w:val="007743B1"/>
    <w:rsid w:val="00782B54"/>
    <w:rsid w:val="007903D0"/>
    <w:rsid w:val="007B5B68"/>
    <w:rsid w:val="007B7379"/>
    <w:rsid w:val="007C5D1F"/>
    <w:rsid w:val="00847622"/>
    <w:rsid w:val="00850129"/>
    <w:rsid w:val="0086364E"/>
    <w:rsid w:val="008669F4"/>
    <w:rsid w:val="00873C20"/>
    <w:rsid w:val="00877384"/>
    <w:rsid w:val="00891D61"/>
    <w:rsid w:val="008A7874"/>
    <w:rsid w:val="008B09E6"/>
    <w:rsid w:val="00902F83"/>
    <w:rsid w:val="00926081"/>
    <w:rsid w:val="0093335D"/>
    <w:rsid w:val="009344BC"/>
    <w:rsid w:val="00950C53"/>
    <w:rsid w:val="009552CF"/>
    <w:rsid w:val="0097360A"/>
    <w:rsid w:val="0097389B"/>
    <w:rsid w:val="009A16C2"/>
    <w:rsid w:val="009A5E0F"/>
    <w:rsid w:val="009D16F5"/>
    <w:rsid w:val="009D43D6"/>
    <w:rsid w:val="009F0A0E"/>
    <w:rsid w:val="009F52EB"/>
    <w:rsid w:val="00A11A4B"/>
    <w:rsid w:val="00A15005"/>
    <w:rsid w:val="00A31CD1"/>
    <w:rsid w:val="00A366F6"/>
    <w:rsid w:val="00A36851"/>
    <w:rsid w:val="00A61020"/>
    <w:rsid w:val="00A618F4"/>
    <w:rsid w:val="00A67844"/>
    <w:rsid w:val="00A93D6E"/>
    <w:rsid w:val="00A947C3"/>
    <w:rsid w:val="00A95285"/>
    <w:rsid w:val="00AA1813"/>
    <w:rsid w:val="00AA7140"/>
    <w:rsid w:val="00AB019C"/>
    <w:rsid w:val="00AB3A81"/>
    <w:rsid w:val="00AB41FE"/>
    <w:rsid w:val="00AE2670"/>
    <w:rsid w:val="00AF0711"/>
    <w:rsid w:val="00AF518E"/>
    <w:rsid w:val="00AF7D7A"/>
    <w:rsid w:val="00B13238"/>
    <w:rsid w:val="00B24634"/>
    <w:rsid w:val="00B40302"/>
    <w:rsid w:val="00B4188D"/>
    <w:rsid w:val="00B53FD9"/>
    <w:rsid w:val="00B57A50"/>
    <w:rsid w:val="00B819EC"/>
    <w:rsid w:val="00B85272"/>
    <w:rsid w:val="00B9095D"/>
    <w:rsid w:val="00B90E21"/>
    <w:rsid w:val="00B97E9F"/>
    <w:rsid w:val="00BD200A"/>
    <w:rsid w:val="00BF0040"/>
    <w:rsid w:val="00BF141D"/>
    <w:rsid w:val="00BF5495"/>
    <w:rsid w:val="00BF5ADD"/>
    <w:rsid w:val="00C01AE1"/>
    <w:rsid w:val="00C02A9C"/>
    <w:rsid w:val="00C07303"/>
    <w:rsid w:val="00C63A08"/>
    <w:rsid w:val="00C744BE"/>
    <w:rsid w:val="00C95150"/>
    <w:rsid w:val="00CA2388"/>
    <w:rsid w:val="00CB6A69"/>
    <w:rsid w:val="00CC7096"/>
    <w:rsid w:val="00CC775A"/>
    <w:rsid w:val="00CE065B"/>
    <w:rsid w:val="00CE7C69"/>
    <w:rsid w:val="00CF7A59"/>
    <w:rsid w:val="00D03415"/>
    <w:rsid w:val="00D60B23"/>
    <w:rsid w:val="00D63345"/>
    <w:rsid w:val="00D71C6B"/>
    <w:rsid w:val="00D74B8A"/>
    <w:rsid w:val="00D7675A"/>
    <w:rsid w:val="00D77EFD"/>
    <w:rsid w:val="00DA7078"/>
    <w:rsid w:val="00DB0046"/>
    <w:rsid w:val="00DD0BD9"/>
    <w:rsid w:val="00DD4873"/>
    <w:rsid w:val="00DF2B53"/>
    <w:rsid w:val="00E07F03"/>
    <w:rsid w:val="00E43EF3"/>
    <w:rsid w:val="00E949AF"/>
    <w:rsid w:val="00ED214F"/>
    <w:rsid w:val="00F01610"/>
    <w:rsid w:val="00F147C1"/>
    <w:rsid w:val="00F31DF4"/>
    <w:rsid w:val="00F3667D"/>
    <w:rsid w:val="00F44603"/>
    <w:rsid w:val="00F73B3E"/>
    <w:rsid w:val="00F766BA"/>
    <w:rsid w:val="00FC14E2"/>
    <w:rsid w:val="00FC1818"/>
    <w:rsid w:val="00FC29AC"/>
    <w:rsid w:val="00FC2FB3"/>
    <w:rsid w:val="00FC3E18"/>
    <w:rsid w:val="00FE1DBB"/>
    <w:rsid w:val="00FE2637"/>
    <w:rsid w:val="00FF5D8A"/>
    <w:rsid w:val="176172D6"/>
    <w:rsid w:val="1A98475D"/>
    <w:rsid w:val="262B4E33"/>
    <w:rsid w:val="3CAD4109"/>
    <w:rsid w:val="56B10A52"/>
    <w:rsid w:val="5DE35491"/>
    <w:rsid w:val="70BA349B"/>
    <w:rsid w:val="7E6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9">
    <w:name w:val="浅色底纹1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skip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fontstyle01"/>
    <w:basedOn w:val="7"/>
    <w:qFormat/>
    <w:uiPriority w:val="0"/>
    <w:rPr>
      <w:rFonts w:hint="default" w:ascii="HelveticaNeue-Bold" w:hAnsi="HelveticaNeue-Bold"/>
      <w:b/>
      <w:bCs/>
      <w:color w:val="000000"/>
      <w:sz w:val="18"/>
      <w:szCs w:val="18"/>
    </w:rPr>
  </w:style>
  <w:style w:type="character" w:customStyle="1" w:styleId="15">
    <w:name w:val="fontstyle21"/>
    <w:basedOn w:val="7"/>
    <w:qFormat/>
    <w:uiPriority w:val="0"/>
    <w:rPr>
      <w:rFonts w:hint="default" w:ascii="STIX-Italic" w:hAnsi="STIX-Italic"/>
      <w:i/>
      <w:iCs/>
      <w:color w:val="000000"/>
      <w:sz w:val="18"/>
      <w:szCs w:val="18"/>
    </w:rPr>
  </w:style>
  <w:style w:type="character" w:customStyle="1" w:styleId="16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2712</Characters>
  <Lines>17</Lines>
  <Paragraphs>4</Paragraphs>
  <TotalTime>2</TotalTime>
  <ScaleCrop>false</ScaleCrop>
  <LinksUpToDate>false</LinksUpToDate>
  <CharactersWithSpaces>2891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2020-06-20T14:42:00Z</dcterms:created>
  <dc:creator>fdgITACHI</dc:creator>
  <cp:lastModifiedBy>杨涛</cp:lastModifiedBy>
  <dcterms:modified xsi:type="dcterms:W3CDTF">2022-04-27T12:56:14Z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4179F3CC37254C5A8800F8C7794FB78D</vt:lpwstr>
  </property>
</Properties>
</file>