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C4" w:rsidRPr="00762A77" w:rsidRDefault="006907C4" w:rsidP="006907C4">
      <w:pPr>
        <w:spacing w:line="480" w:lineRule="auto"/>
        <w:rPr>
          <w:rFonts w:ascii="Arial" w:hAnsi="Arial"/>
          <w:sz w:val="24"/>
        </w:rPr>
      </w:pPr>
      <w:r w:rsidRPr="00762A77">
        <w:rPr>
          <w:noProof/>
        </w:rPr>
        <w:t>(a)</w:t>
      </w:r>
      <w:r w:rsidRPr="00762A77">
        <w:rPr>
          <w:noProof/>
          <w:lang w:eastAsia="en-IN"/>
        </w:rPr>
        <w:drawing>
          <wp:inline distT="0" distB="0" distL="0" distR="0" wp14:anchorId="3DFC3609" wp14:editId="0FB1BDA1">
            <wp:extent cx="2713138" cy="20002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688" t="21108" r="69169" b="44741"/>
                    <a:stretch/>
                  </pic:blipFill>
                  <pic:spPr>
                    <a:xfrm>
                      <a:off x="0" y="0"/>
                      <a:ext cx="2723226" cy="200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A77">
        <w:rPr>
          <w:noProof/>
        </w:rPr>
        <w:t xml:space="preserve"> (b)</w:t>
      </w:r>
      <w:r w:rsidRPr="00762A77">
        <w:rPr>
          <w:rFonts w:ascii="Arial" w:hAnsi="Arial"/>
          <w:noProof/>
          <w:sz w:val="24"/>
          <w:lang w:eastAsia="en-IN"/>
        </w:rPr>
        <w:drawing>
          <wp:inline distT="0" distB="0" distL="0" distR="0" wp14:anchorId="30C49278" wp14:editId="0033DC4A">
            <wp:extent cx="2764922" cy="2000083"/>
            <wp:effectExtent l="0" t="0" r="0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5435" t="49926" r="68052" b="15978"/>
                    <a:stretch/>
                  </pic:blipFill>
                  <pic:spPr>
                    <a:xfrm>
                      <a:off x="0" y="0"/>
                      <a:ext cx="2790930" cy="201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C4" w:rsidRPr="00762A77" w:rsidRDefault="006907C4" w:rsidP="006907C4">
      <w:pPr>
        <w:spacing w:line="480" w:lineRule="auto"/>
        <w:rPr>
          <w:rFonts w:ascii="Arial" w:hAnsi="Arial"/>
          <w:sz w:val="24"/>
        </w:rPr>
      </w:pPr>
      <w:proofErr w:type="gramStart"/>
      <w:r w:rsidRPr="00762A77">
        <w:rPr>
          <w:rFonts w:ascii="Arial" w:hAnsi="Arial"/>
          <w:b/>
          <w:sz w:val="24"/>
        </w:rPr>
        <w:t>Supplementary Figure 1.</w:t>
      </w:r>
      <w:proofErr w:type="gramEnd"/>
      <w:r w:rsidRPr="00762A77">
        <w:rPr>
          <w:rFonts w:ascii="Arial" w:hAnsi="Arial"/>
          <w:sz w:val="24"/>
        </w:rPr>
        <w:t xml:space="preserve"> Example of pre (a) and post (b) body composition measurements for a single patient (lumbar skeletal muscle area cm</w:t>
      </w:r>
      <w:r w:rsidRPr="00762A77">
        <w:rPr>
          <w:rFonts w:ascii="Arial" w:hAnsi="Arial"/>
          <w:sz w:val="24"/>
          <w:vertAlign w:val="superscript"/>
        </w:rPr>
        <w:t xml:space="preserve">2 </w:t>
      </w:r>
      <w:r w:rsidRPr="00762A77">
        <w:rPr>
          <w:rFonts w:ascii="Arial" w:hAnsi="Arial"/>
          <w:sz w:val="24"/>
        </w:rPr>
        <w:t>[red], visceral adipose area cm</w:t>
      </w:r>
      <w:r w:rsidRPr="00762A77">
        <w:rPr>
          <w:rFonts w:ascii="Arial" w:hAnsi="Arial"/>
          <w:sz w:val="24"/>
          <w:vertAlign w:val="superscript"/>
        </w:rPr>
        <w:t xml:space="preserve">2 </w:t>
      </w:r>
      <w:r w:rsidRPr="00762A77">
        <w:rPr>
          <w:rFonts w:ascii="Arial" w:hAnsi="Arial"/>
          <w:sz w:val="24"/>
        </w:rPr>
        <w:t>[yellow], subcutaneous [turquoise] and intramuscular adipose area cm</w:t>
      </w:r>
      <w:r w:rsidRPr="00762A77">
        <w:rPr>
          <w:rFonts w:ascii="Arial" w:hAnsi="Arial"/>
          <w:sz w:val="24"/>
          <w:vertAlign w:val="superscript"/>
        </w:rPr>
        <w:t>2</w:t>
      </w:r>
      <w:r w:rsidRPr="00762A77">
        <w:rPr>
          <w:rFonts w:ascii="Arial" w:hAnsi="Arial"/>
          <w:sz w:val="24"/>
        </w:rPr>
        <w:t xml:space="preserve"> [green] after 4 cycles of dose dense MVAC. The time between the first and second study was 50 days.</w:t>
      </w:r>
    </w:p>
    <w:p w:rsidR="00012546" w:rsidRDefault="00012546">
      <w:bookmarkStart w:id="0" w:name="_GoBack"/>
      <w:bookmarkEnd w:id="0"/>
    </w:p>
    <w:sectPr w:rsidR="0001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C4"/>
    <w:rsid w:val="00012546"/>
    <w:rsid w:val="00260487"/>
    <w:rsid w:val="006907C4"/>
    <w:rsid w:val="009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2018-09-27T11:31:00Z</dcterms:created>
  <dcterms:modified xsi:type="dcterms:W3CDTF">2018-09-27T11:31:00Z</dcterms:modified>
</cp:coreProperties>
</file>