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2.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7191" w:rsidRPr="00AB4F67" w:rsidRDefault="007F7191" w:rsidP="007F7191">
      <w:pPr>
        <w:pStyle w:val="Caption"/>
        <w:spacing w:line="480" w:lineRule="auto"/>
        <w:rPr>
          <w:rFonts w:cstheme="minorHAnsi"/>
          <w:b/>
          <w:i w:val="0"/>
          <w:color w:val="auto"/>
          <w:sz w:val="24"/>
          <w:szCs w:val="24"/>
        </w:rPr>
      </w:pPr>
      <w:r w:rsidRPr="00FE493F">
        <w:rPr>
          <w:rFonts w:cstheme="minorHAnsi"/>
          <w:b/>
          <w:i w:val="0"/>
          <w:color w:val="auto"/>
          <w:sz w:val="24"/>
          <w:szCs w:val="24"/>
          <w:highlight w:val="yellow"/>
        </w:rPr>
        <w:t>ELECTRONIC SUPPLEMENTARY INFORMATION AND DATA</w:t>
      </w:r>
    </w:p>
    <w:p w:rsidR="007F7191" w:rsidRPr="009C4ABC" w:rsidRDefault="007F7191" w:rsidP="007F7191">
      <w:pPr>
        <w:pStyle w:val="Heading2"/>
        <w:spacing w:line="480" w:lineRule="auto"/>
        <w:rPr>
          <w:rFonts w:asciiTheme="minorHAnsi" w:hAnsiTheme="minorHAnsi" w:cstheme="minorHAnsi"/>
          <w:i/>
          <w:color w:val="auto"/>
          <w:sz w:val="24"/>
          <w:szCs w:val="24"/>
        </w:rPr>
      </w:pPr>
      <w:proofErr w:type="spellStart"/>
      <w:r w:rsidRPr="009C4ABC">
        <w:rPr>
          <w:rFonts w:asciiTheme="minorHAnsi" w:hAnsiTheme="minorHAnsi" w:cstheme="minorHAnsi"/>
          <w:i/>
          <w:color w:val="auto"/>
          <w:sz w:val="24"/>
          <w:szCs w:val="24"/>
        </w:rPr>
        <w:t>Xcalibur</w:t>
      </w:r>
      <w:proofErr w:type="spellEnd"/>
      <w:r w:rsidRPr="009C4ABC">
        <w:rPr>
          <w:rFonts w:asciiTheme="minorHAnsi" w:hAnsiTheme="minorHAnsi" w:cstheme="minorHAnsi"/>
          <w:i/>
          <w:color w:val="auto"/>
          <w:sz w:val="24"/>
          <w:szCs w:val="24"/>
        </w:rPr>
        <w:t xml:space="preserve"> </w:t>
      </w:r>
      <w:proofErr w:type="spellStart"/>
      <w:r w:rsidRPr="009C4ABC">
        <w:rPr>
          <w:rFonts w:asciiTheme="minorHAnsi" w:hAnsiTheme="minorHAnsi" w:cstheme="minorHAnsi"/>
          <w:i/>
          <w:color w:val="auto"/>
          <w:sz w:val="24"/>
          <w:szCs w:val="24"/>
        </w:rPr>
        <w:t>applicationfor</w:t>
      </w:r>
      <w:proofErr w:type="spellEnd"/>
      <w:r w:rsidRPr="009C4ABC">
        <w:rPr>
          <w:rFonts w:asciiTheme="minorHAnsi" w:hAnsiTheme="minorHAnsi" w:cstheme="minorHAnsi"/>
          <w:i/>
          <w:color w:val="auto"/>
          <w:sz w:val="24"/>
          <w:szCs w:val="24"/>
        </w:rPr>
        <w:t xml:space="preserve"> TS-MS data analysis</w:t>
      </w:r>
      <w:r>
        <w:rPr>
          <w:rFonts w:asciiTheme="minorHAnsi" w:hAnsiTheme="minorHAnsi" w:cstheme="minorHAnsi"/>
          <w:i/>
          <w:color w:val="auto"/>
          <w:sz w:val="24"/>
          <w:szCs w:val="24"/>
        </w:rPr>
        <w:t>, expanded methods section</w:t>
      </w:r>
    </w:p>
    <w:p w:rsidR="007F7191" w:rsidRPr="00AB4F67" w:rsidRDefault="007F7191" w:rsidP="007F7191">
      <w:pPr>
        <w:spacing w:after="0" w:line="480" w:lineRule="auto"/>
        <w:ind w:firstLine="720"/>
        <w:rPr>
          <w:rFonts w:cstheme="minorHAnsi"/>
          <w:sz w:val="24"/>
          <w:szCs w:val="24"/>
        </w:rPr>
      </w:pPr>
      <w:proofErr w:type="spellStart"/>
      <w:r w:rsidRPr="00AB4F67">
        <w:rPr>
          <w:rFonts w:cstheme="minorHAnsi"/>
          <w:sz w:val="24"/>
          <w:szCs w:val="24"/>
        </w:rPr>
        <w:t>Xcalibur</w:t>
      </w:r>
      <w:proofErr w:type="spellEnd"/>
      <w:r w:rsidRPr="00AB4F67">
        <w:rPr>
          <w:rFonts w:cstheme="minorHAnsi"/>
          <w:sz w:val="24"/>
          <w:szCs w:val="24"/>
        </w:rPr>
        <w:t xml:space="preserve"> (Thermo Fisher Scientific, Waltham Massachusetts) software was used to process data from each touch.  Mass spectral selection from each total ion</w:t>
      </w:r>
      <w:r>
        <w:rPr>
          <w:rFonts w:cstheme="minorHAnsi"/>
          <w:sz w:val="24"/>
          <w:szCs w:val="24"/>
        </w:rPr>
        <w:t xml:space="preserve"> current </w:t>
      </w:r>
      <w:r w:rsidRPr="00AB4F67">
        <w:rPr>
          <w:rFonts w:cstheme="minorHAnsi"/>
          <w:sz w:val="24"/>
          <w:szCs w:val="24"/>
        </w:rPr>
        <w:t>(TIC) was performed as follows. The TIC maximum normalized peak was first evaluated.  Each mass spectrum within the TIC maximum peak was individually evaluated for an abundance of 10</w:t>
      </w:r>
      <w:r w:rsidRPr="00AB4F67">
        <w:rPr>
          <w:rFonts w:cstheme="minorHAnsi"/>
          <w:sz w:val="24"/>
          <w:szCs w:val="24"/>
          <w:vertAlign w:val="superscript"/>
        </w:rPr>
        <w:t>3</w:t>
      </w:r>
      <w:r w:rsidRPr="00AB4F67">
        <w:rPr>
          <w:rFonts w:cstheme="minorHAnsi"/>
          <w:sz w:val="24"/>
          <w:szCs w:val="24"/>
        </w:rPr>
        <w:t xml:space="preserve"> instrument counts or greater.  If no mass spectral signal was detected, or if the mass spectral signal intensity was not greater than three times the noise qualitatively determined from the baseline of the spectrum or did not include mass spectral peaks in the </w:t>
      </w:r>
      <w:proofErr w:type="spellStart"/>
      <w:r w:rsidRPr="00AB4F67">
        <w:rPr>
          <w:rFonts w:cstheme="minorHAnsi"/>
          <w:sz w:val="24"/>
          <w:szCs w:val="24"/>
        </w:rPr>
        <w:t>phospholipid</w:t>
      </w:r>
      <w:proofErr w:type="spellEnd"/>
      <w:r w:rsidRPr="00AB4F67">
        <w:rPr>
          <w:rFonts w:cstheme="minorHAnsi"/>
          <w:sz w:val="24"/>
          <w:szCs w:val="24"/>
        </w:rPr>
        <w:t xml:space="preserve"> region, the mass spectrum was rejected.  If each mass spectrum of the TIC maximum peak were rejected, each peak in the TIC was evaluated in a similar fashion. If all evaluated TIC peaks were rejected, the data for this touch were excluded.  If more than one mass spectrum of a touch was accepted, TIC adjacent mass spectra were averaged and the average mass spectrum was exported to Excel</w:t>
      </w:r>
      <w:r>
        <w:rPr>
          <w:rFonts w:cstheme="minorHAnsi"/>
          <w:sz w:val="24"/>
          <w:szCs w:val="24"/>
        </w:rPr>
        <w:t xml:space="preserve"> (</w:t>
      </w:r>
      <w:r w:rsidRPr="009B5AD5">
        <w:rPr>
          <w:rFonts w:cstheme="minorHAnsi"/>
          <w:sz w:val="24"/>
          <w:szCs w:val="24"/>
        </w:rPr>
        <w:t>Microsoft, Spokane, WA USA)</w:t>
      </w:r>
      <w:r w:rsidRPr="00AB4F67">
        <w:rPr>
          <w:rFonts w:cstheme="minorHAnsi"/>
          <w:sz w:val="24"/>
          <w:szCs w:val="24"/>
        </w:rPr>
        <w:t>.  TIC non-adjacent mass spectra were individually exported to Excel.</w:t>
      </w:r>
    </w:p>
    <w:p w:rsidR="007F7191" w:rsidRPr="00AB4F67" w:rsidRDefault="007F7191" w:rsidP="007F7191">
      <w:pPr>
        <w:spacing w:after="0" w:line="480" w:lineRule="auto"/>
        <w:ind w:firstLine="720"/>
        <w:rPr>
          <w:rFonts w:cstheme="minorHAnsi"/>
          <w:sz w:val="24"/>
          <w:szCs w:val="24"/>
        </w:rPr>
      </w:pPr>
      <w:proofErr w:type="spellStart"/>
      <w:r w:rsidRPr="00AB4F67">
        <w:rPr>
          <w:rFonts w:cstheme="minorHAnsi"/>
          <w:sz w:val="24"/>
          <w:szCs w:val="24"/>
        </w:rPr>
        <w:t>Xcalibur</w:t>
      </w:r>
      <w:proofErr w:type="spellEnd"/>
      <w:r w:rsidRPr="00AB4F67">
        <w:rPr>
          <w:rFonts w:cstheme="minorHAnsi"/>
          <w:sz w:val="24"/>
          <w:szCs w:val="24"/>
        </w:rPr>
        <w:t xml:space="preserve"> was used to export average mass spectrum for each grouping of mass spectra.  Each average mass spectrum (list of </w:t>
      </w:r>
      <w:r w:rsidRPr="00AB4F67">
        <w:rPr>
          <w:rFonts w:cstheme="minorHAnsi"/>
          <w:i/>
          <w:sz w:val="24"/>
          <w:szCs w:val="24"/>
        </w:rPr>
        <w:t>m/z</w:t>
      </w:r>
      <w:r w:rsidRPr="00AB4F67">
        <w:rPr>
          <w:rFonts w:cstheme="minorHAnsi"/>
          <w:sz w:val="24"/>
          <w:szCs w:val="24"/>
        </w:rPr>
        <w:t xml:space="preserve"> values and ion abundan</w:t>
      </w:r>
      <w:r>
        <w:rPr>
          <w:rFonts w:cstheme="minorHAnsi"/>
          <w:sz w:val="24"/>
          <w:szCs w:val="24"/>
        </w:rPr>
        <w:t>ces) was imported into Excel</w:t>
      </w:r>
      <w:r w:rsidRPr="00AB4F67">
        <w:rPr>
          <w:rFonts w:cstheme="minorHAnsi"/>
          <w:sz w:val="24"/>
          <w:szCs w:val="24"/>
        </w:rPr>
        <w:t xml:space="preserve">.  Each average mass spectrum was subjected to standard normal </w:t>
      </w:r>
      <w:proofErr w:type="spellStart"/>
      <w:r w:rsidRPr="00AB4F67">
        <w:rPr>
          <w:rFonts w:cstheme="minorHAnsi"/>
          <w:sz w:val="24"/>
          <w:szCs w:val="24"/>
        </w:rPr>
        <w:t>variate</w:t>
      </w:r>
      <w:proofErr w:type="spellEnd"/>
      <w:r w:rsidRPr="00AB4F67">
        <w:rPr>
          <w:rFonts w:cstheme="minorHAnsi"/>
          <w:sz w:val="24"/>
          <w:szCs w:val="24"/>
        </w:rPr>
        <w:t xml:space="preserve"> (SNV) transformation in MATLAB</w:t>
      </w:r>
      <w:r>
        <w:rPr>
          <w:rFonts w:cstheme="minorHAnsi"/>
          <w:sz w:val="24"/>
          <w:szCs w:val="24"/>
        </w:rPr>
        <w:t xml:space="preserve"> (</w:t>
      </w:r>
      <w:r w:rsidRPr="009B5AD5">
        <w:rPr>
          <w:rFonts w:cstheme="minorHAnsi"/>
          <w:sz w:val="24"/>
          <w:szCs w:val="24"/>
        </w:rPr>
        <w:t xml:space="preserve">The </w:t>
      </w:r>
      <w:proofErr w:type="spellStart"/>
      <w:r w:rsidRPr="009B5AD5">
        <w:rPr>
          <w:rFonts w:cstheme="minorHAnsi"/>
          <w:sz w:val="24"/>
          <w:szCs w:val="24"/>
        </w:rPr>
        <w:t>MathWorks</w:t>
      </w:r>
      <w:proofErr w:type="spellEnd"/>
      <w:r w:rsidRPr="009B5AD5">
        <w:rPr>
          <w:rFonts w:cstheme="minorHAnsi"/>
          <w:sz w:val="24"/>
          <w:szCs w:val="24"/>
        </w:rPr>
        <w:t xml:space="preserve">, Inc., </w:t>
      </w:r>
      <w:proofErr w:type="gramStart"/>
      <w:r w:rsidRPr="009B5AD5">
        <w:rPr>
          <w:rFonts w:cstheme="minorHAnsi"/>
          <w:sz w:val="24"/>
          <w:szCs w:val="24"/>
        </w:rPr>
        <w:t>Natick</w:t>
      </w:r>
      <w:proofErr w:type="gramEnd"/>
      <w:r w:rsidRPr="009B5AD5">
        <w:rPr>
          <w:rFonts w:cstheme="minorHAnsi"/>
          <w:sz w:val="24"/>
          <w:szCs w:val="24"/>
        </w:rPr>
        <w:t>, MA USA)</w:t>
      </w:r>
      <w:r w:rsidRPr="00AB4F67">
        <w:rPr>
          <w:rFonts w:cstheme="minorHAnsi"/>
          <w:sz w:val="24"/>
          <w:szCs w:val="24"/>
        </w:rPr>
        <w:t xml:space="preserve">.  SNV transformation calculates the average and standard deviation of all data points in a mass spectrum and subtracts each data point from the mean and divides each data point by the standard deviation. All spectra were mean-centered for the same </w:t>
      </w:r>
      <w:r w:rsidRPr="00AB4F67">
        <w:rPr>
          <w:rFonts w:cstheme="minorHAnsi"/>
          <w:i/>
          <w:sz w:val="24"/>
          <w:szCs w:val="24"/>
        </w:rPr>
        <w:t>m/z</w:t>
      </w:r>
      <w:r w:rsidRPr="00AB4F67">
        <w:rPr>
          <w:rFonts w:cstheme="minorHAnsi"/>
          <w:sz w:val="24"/>
          <w:szCs w:val="24"/>
        </w:rPr>
        <w:t xml:space="preserve"> value across all mass spectra.</w:t>
      </w:r>
    </w:p>
    <w:p w:rsidR="007F7191" w:rsidRPr="009C4ABC" w:rsidRDefault="007F7191" w:rsidP="007F7191">
      <w:pPr>
        <w:pStyle w:val="Heading2"/>
        <w:spacing w:line="480" w:lineRule="auto"/>
        <w:rPr>
          <w:rFonts w:asciiTheme="minorHAnsi" w:hAnsiTheme="minorHAnsi" w:cstheme="minorHAnsi"/>
          <w:i/>
          <w:color w:val="auto"/>
          <w:sz w:val="24"/>
          <w:szCs w:val="24"/>
        </w:rPr>
      </w:pPr>
      <w:r w:rsidRPr="009C4ABC">
        <w:rPr>
          <w:rFonts w:asciiTheme="minorHAnsi" w:hAnsiTheme="minorHAnsi" w:cstheme="minorHAnsi"/>
          <w:i/>
          <w:color w:val="auto"/>
          <w:sz w:val="24"/>
          <w:szCs w:val="24"/>
        </w:rPr>
        <w:lastRenderedPageBreak/>
        <w:t>Pri</w:t>
      </w:r>
      <w:r>
        <w:rPr>
          <w:rFonts w:asciiTheme="minorHAnsi" w:hAnsiTheme="minorHAnsi" w:cstheme="minorHAnsi"/>
          <w:i/>
          <w:color w:val="auto"/>
          <w:sz w:val="24"/>
          <w:szCs w:val="24"/>
        </w:rPr>
        <w:t>ncipal Component Analysis (PCA), expanded methods section</w:t>
      </w:r>
    </w:p>
    <w:p w:rsidR="007F7191" w:rsidRPr="00AB4F67" w:rsidRDefault="007F7191" w:rsidP="007F7191">
      <w:pPr>
        <w:spacing w:before="120" w:after="120" w:line="480" w:lineRule="auto"/>
        <w:ind w:firstLine="720"/>
        <w:rPr>
          <w:rFonts w:cstheme="minorHAnsi"/>
          <w:sz w:val="24"/>
          <w:szCs w:val="24"/>
        </w:rPr>
      </w:pPr>
      <w:r w:rsidRPr="00AB4F67">
        <w:rPr>
          <w:rFonts w:cstheme="minorHAnsi"/>
          <w:sz w:val="24"/>
          <w:szCs w:val="24"/>
        </w:rPr>
        <w:t xml:space="preserve">An in-house program was used to convert </w:t>
      </w:r>
      <w:proofErr w:type="spellStart"/>
      <w:r w:rsidRPr="00AB4F67">
        <w:rPr>
          <w:rFonts w:cstheme="minorHAnsi"/>
          <w:sz w:val="24"/>
          <w:szCs w:val="24"/>
        </w:rPr>
        <w:t>Xcalibur</w:t>
      </w:r>
      <w:proofErr w:type="spellEnd"/>
      <w:r w:rsidRPr="00AB4F67">
        <w:rPr>
          <w:rFonts w:cstheme="minorHAnsi"/>
          <w:sz w:val="24"/>
          <w:szCs w:val="24"/>
        </w:rPr>
        <w:t xml:space="preserve"> MS data files (*.raw) into ASCII files (*.txt).  ASCII files were imported into Excel spreadsheets which were used to import the data into </w:t>
      </w:r>
      <w:r>
        <w:rPr>
          <w:rFonts w:cstheme="minorHAnsi"/>
          <w:sz w:val="24"/>
          <w:szCs w:val="24"/>
        </w:rPr>
        <w:t>MATLAB</w:t>
      </w:r>
      <w:r w:rsidRPr="00AB4F67">
        <w:rPr>
          <w:rFonts w:cstheme="minorHAnsi"/>
          <w:sz w:val="24"/>
          <w:szCs w:val="24"/>
        </w:rPr>
        <w:t xml:space="preserve">.  For TIC normalization, in-house scripts or Excel were used to normalize each average mass spectrum by the spectrum’s total ion current.  All spectra for each DESI and TS dataset were mean-centered (i.e., column centered) for the same </w:t>
      </w:r>
      <w:r w:rsidRPr="00AB4F67">
        <w:rPr>
          <w:rFonts w:cstheme="minorHAnsi"/>
          <w:i/>
          <w:sz w:val="24"/>
          <w:szCs w:val="24"/>
        </w:rPr>
        <w:t>m/z</w:t>
      </w:r>
      <w:r w:rsidRPr="00AB4F67">
        <w:rPr>
          <w:rFonts w:cstheme="minorHAnsi"/>
          <w:sz w:val="24"/>
          <w:szCs w:val="24"/>
        </w:rPr>
        <w:t xml:space="preserve"> value across all mass spectra.  PCA was performed on TIC normalized, mean-centered data for DESI datasets. In other analyses, as an alternative to TIC normalization, DESI datasets were pretreated by standard normal </w:t>
      </w:r>
      <w:proofErr w:type="spellStart"/>
      <w:r w:rsidRPr="00AB4F67">
        <w:rPr>
          <w:rFonts w:cstheme="minorHAnsi"/>
          <w:sz w:val="24"/>
          <w:szCs w:val="24"/>
        </w:rPr>
        <w:t>variate</w:t>
      </w:r>
      <w:proofErr w:type="spellEnd"/>
      <w:r w:rsidRPr="00AB4F67">
        <w:rPr>
          <w:rFonts w:cstheme="minorHAnsi"/>
          <w:sz w:val="24"/>
          <w:szCs w:val="24"/>
        </w:rPr>
        <w:t xml:space="preserve"> (SNV) transformation and provided similar results.  PCA was performed on SNV, mean centered data for TS datasets.</w:t>
      </w:r>
    </w:p>
    <w:p w:rsidR="007F7191" w:rsidRPr="00AB4F67" w:rsidRDefault="007F7191" w:rsidP="007F7191">
      <w:pPr>
        <w:spacing w:before="120" w:after="120" w:line="480" w:lineRule="auto"/>
        <w:ind w:firstLine="720"/>
        <w:rPr>
          <w:rFonts w:cstheme="minorHAnsi"/>
          <w:sz w:val="24"/>
          <w:szCs w:val="24"/>
        </w:rPr>
      </w:pPr>
    </w:p>
    <w:p w:rsidR="007F7191" w:rsidRPr="009C4ABC" w:rsidRDefault="007F7191" w:rsidP="007F7191">
      <w:pPr>
        <w:pStyle w:val="Heading2"/>
        <w:spacing w:line="480" w:lineRule="auto"/>
        <w:rPr>
          <w:rFonts w:asciiTheme="minorHAnsi" w:hAnsiTheme="minorHAnsi" w:cstheme="minorHAnsi"/>
          <w:i/>
          <w:color w:val="auto"/>
          <w:sz w:val="24"/>
          <w:szCs w:val="24"/>
        </w:rPr>
      </w:pPr>
      <w:r w:rsidRPr="009C4ABC">
        <w:rPr>
          <w:rFonts w:asciiTheme="minorHAnsi" w:hAnsiTheme="minorHAnsi" w:cstheme="minorHAnsi"/>
          <w:i/>
          <w:color w:val="auto"/>
          <w:sz w:val="24"/>
          <w:szCs w:val="24"/>
        </w:rPr>
        <w:t xml:space="preserve">Principal Component Analysis - Linear </w:t>
      </w:r>
      <w:proofErr w:type="spellStart"/>
      <w:r w:rsidRPr="009C4ABC">
        <w:rPr>
          <w:rFonts w:asciiTheme="minorHAnsi" w:hAnsiTheme="minorHAnsi" w:cstheme="minorHAnsi"/>
          <w:i/>
          <w:color w:val="auto"/>
          <w:sz w:val="24"/>
          <w:szCs w:val="24"/>
        </w:rPr>
        <w:t>Discriminant</w:t>
      </w:r>
      <w:proofErr w:type="spellEnd"/>
      <w:r w:rsidRPr="009C4ABC">
        <w:rPr>
          <w:rFonts w:asciiTheme="minorHAnsi" w:hAnsiTheme="minorHAnsi" w:cstheme="minorHAnsi"/>
          <w:i/>
          <w:color w:val="auto"/>
          <w:sz w:val="24"/>
          <w:szCs w:val="24"/>
        </w:rPr>
        <w:t xml:space="preserve"> Analysis (PCA-LDA)</w:t>
      </w:r>
      <w:r>
        <w:rPr>
          <w:rFonts w:asciiTheme="minorHAnsi" w:hAnsiTheme="minorHAnsi" w:cstheme="minorHAnsi"/>
          <w:i/>
          <w:color w:val="auto"/>
          <w:sz w:val="24"/>
          <w:szCs w:val="24"/>
        </w:rPr>
        <w:t>, expanded methods section</w:t>
      </w:r>
    </w:p>
    <w:p w:rsidR="007F7191" w:rsidRPr="00AB4F67" w:rsidRDefault="007F7191" w:rsidP="007F7191">
      <w:pPr>
        <w:spacing w:after="0" w:line="480" w:lineRule="auto"/>
        <w:ind w:firstLine="720"/>
        <w:rPr>
          <w:rFonts w:cstheme="minorHAnsi"/>
          <w:sz w:val="24"/>
          <w:szCs w:val="24"/>
        </w:rPr>
      </w:pPr>
      <w:r w:rsidRPr="00AB4F67">
        <w:rPr>
          <w:rFonts w:cstheme="minorHAnsi"/>
          <w:sz w:val="24"/>
          <w:szCs w:val="24"/>
        </w:rPr>
        <w:t xml:space="preserve">Models were built using all of the objects based on each analyzed target set.  Linear </w:t>
      </w:r>
      <w:proofErr w:type="spellStart"/>
      <w:r w:rsidRPr="00AB4F67">
        <w:rPr>
          <w:rFonts w:cstheme="minorHAnsi"/>
          <w:sz w:val="24"/>
          <w:szCs w:val="24"/>
        </w:rPr>
        <w:t>Discriminant</w:t>
      </w:r>
      <w:proofErr w:type="spellEnd"/>
      <w:r w:rsidRPr="00AB4F67">
        <w:rPr>
          <w:rFonts w:cstheme="minorHAnsi"/>
          <w:sz w:val="24"/>
          <w:szCs w:val="24"/>
        </w:rPr>
        <w:t xml:space="preserve"> Analysis (LDA) was applied to the DESI target datasets of TIC normalized, mean centered mass spectra after compression by PCA, thereby using as variables the principal components instead of the original mass spectral data.  LDA was performed as a supervised </w:t>
      </w:r>
      <w:proofErr w:type="spellStart"/>
      <w:r w:rsidRPr="00AB4F67">
        <w:rPr>
          <w:rFonts w:cstheme="minorHAnsi"/>
          <w:sz w:val="24"/>
          <w:szCs w:val="24"/>
        </w:rPr>
        <w:t>discriminant</w:t>
      </w:r>
      <w:proofErr w:type="spellEnd"/>
      <w:r w:rsidRPr="00AB4F67">
        <w:rPr>
          <w:rFonts w:cstheme="minorHAnsi"/>
          <w:sz w:val="24"/>
          <w:szCs w:val="24"/>
        </w:rPr>
        <w:t xml:space="preserve"> classification technique.  </w:t>
      </w:r>
      <w:proofErr w:type="spellStart"/>
      <w:r w:rsidRPr="00AB4F67">
        <w:rPr>
          <w:rFonts w:cstheme="minorHAnsi"/>
          <w:sz w:val="24"/>
          <w:szCs w:val="24"/>
        </w:rPr>
        <w:t>Discriminant</w:t>
      </w:r>
      <w:proofErr w:type="spellEnd"/>
      <w:r w:rsidRPr="00AB4F67">
        <w:rPr>
          <w:rFonts w:cstheme="minorHAnsi"/>
          <w:sz w:val="24"/>
          <w:szCs w:val="24"/>
        </w:rPr>
        <w:t xml:space="preserve"> methods look for a delimiter that divides the global domain into a number of regions, each assigned to one of the classes.  This delimiter identifies an open region for each class and such regions determine the assignment of the data (mass spectra) to one of the classes [12].  Model validation, specifically evaluation of the predictive ability of the model, was performed by means of cross-validation (CV) [12]. For this study, a selected number of cross-validation deletion groups were utilized, meaning that all of the </w:t>
      </w:r>
      <w:r w:rsidRPr="00AB4F67">
        <w:rPr>
          <w:rFonts w:cstheme="minorHAnsi"/>
          <w:sz w:val="24"/>
          <w:szCs w:val="24"/>
        </w:rPr>
        <w:lastRenderedPageBreak/>
        <w:t>mass spectra (DESI dataset n=50 and TS dataset n=15</w:t>
      </w:r>
      <w:r>
        <w:rPr>
          <w:rFonts w:cstheme="minorHAnsi"/>
          <w:sz w:val="24"/>
          <w:szCs w:val="24"/>
        </w:rPr>
        <w:t>1</w:t>
      </w:r>
      <w:r w:rsidRPr="00AB4F67">
        <w:rPr>
          <w:rFonts w:cstheme="minorHAnsi"/>
          <w:sz w:val="24"/>
          <w:szCs w:val="24"/>
        </w:rPr>
        <w:t xml:space="preserve">) were divided systematically and by a selected number of times into a deletion group and retained group, with each mass spectrum being in the deletion group only once. A deletion group involves selecting a portion of the dataset.  The retained group is used to cross validate the deletion group. This process is performed the selected number of times.    </w:t>
      </w:r>
    </w:p>
    <w:p w:rsidR="007F7191" w:rsidRDefault="007F7191" w:rsidP="007F7191">
      <w:pPr>
        <w:spacing w:after="0" w:line="480" w:lineRule="auto"/>
        <w:ind w:firstLine="720"/>
        <w:rPr>
          <w:rFonts w:cstheme="minorHAnsi"/>
          <w:sz w:val="24"/>
          <w:szCs w:val="24"/>
        </w:rPr>
      </w:pPr>
      <w:r w:rsidRPr="00AB4F67">
        <w:rPr>
          <w:rFonts w:cstheme="minorHAnsi"/>
          <w:sz w:val="24"/>
          <w:szCs w:val="24"/>
        </w:rPr>
        <w:t xml:space="preserve">LDA models used for supervised </w:t>
      </w:r>
      <w:proofErr w:type="spellStart"/>
      <w:r w:rsidRPr="00AB4F67">
        <w:rPr>
          <w:rFonts w:cstheme="minorHAnsi"/>
          <w:sz w:val="24"/>
          <w:szCs w:val="24"/>
        </w:rPr>
        <w:t>discriminant</w:t>
      </w:r>
      <w:proofErr w:type="spellEnd"/>
      <w:r w:rsidRPr="00AB4F67">
        <w:rPr>
          <w:rFonts w:cstheme="minorHAnsi"/>
          <w:sz w:val="24"/>
          <w:szCs w:val="24"/>
        </w:rPr>
        <w:t xml:space="preserve"> classification were built using two to six principal components. The models were chosen to provide the least number of false results (e.g., highest prediction rates) in cross validation and where the cumulative variance of the number of chosen</w:t>
      </w:r>
      <w:r>
        <w:rPr>
          <w:rFonts w:cstheme="minorHAnsi"/>
          <w:sz w:val="24"/>
          <w:szCs w:val="24"/>
        </w:rPr>
        <w:t xml:space="preserve"> principal components (</w:t>
      </w:r>
      <w:r w:rsidRPr="00AB4F67">
        <w:rPr>
          <w:rFonts w:cstheme="minorHAnsi"/>
          <w:sz w:val="24"/>
          <w:szCs w:val="24"/>
        </w:rPr>
        <w:t>PCs</w:t>
      </w:r>
      <w:r>
        <w:rPr>
          <w:rFonts w:cstheme="minorHAnsi"/>
          <w:sz w:val="24"/>
          <w:szCs w:val="24"/>
        </w:rPr>
        <w:t>)</w:t>
      </w:r>
      <w:r w:rsidRPr="00AB4F67">
        <w:rPr>
          <w:rFonts w:cstheme="minorHAnsi"/>
          <w:sz w:val="24"/>
          <w:szCs w:val="24"/>
        </w:rPr>
        <w:t xml:space="preserve"> suggests inclusion of substantially signal and not substantially noise.</w:t>
      </w:r>
    </w:p>
    <w:p w:rsidR="007F7191" w:rsidRPr="00AB4F67" w:rsidRDefault="007F7191" w:rsidP="007F7191">
      <w:pPr>
        <w:spacing w:before="120" w:after="120" w:line="480" w:lineRule="auto"/>
        <w:ind w:firstLine="720"/>
        <w:rPr>
          <w:rFonts w:cstheme="minorHAnsi"/>
          <w:sz w:val="24"/>
          <w:szCs w:val="24"/>
        </w:rPr>
      </w:pPr>
    </w:p>
    <w:p w:rsidR="007F7191" w:rsidRPr="00252FDF" w:rsidRDefault="007F7191" w:rsidP="007F7191">
      <w:pPr>
        <w:spacing w:line="480" w:lineRule="auto"/>
        <w:rPr>
          <w:rFonts w:cstheme="minorHAnsi"/>
          <w:i/>
          <w:sz w:val="24"/>
          <w:szCs w:val="24"/>
        </w:rPr>
      </w:pPr>
      <w:r w:rsidRPr="00252FDF">
        <w:rPr>
          <w:rFonts w:cstheme="minorHAnsi"/>
          <w:i/>
          <w:sz w:val="24"/>
          <w:szCs w:val="24"/>
        </w:rPr>
        <w:t>PCA-LDA on DESI-</w:t>
      </w:r>
      <w:proofErr w:type="spellStart"/>
      <w:r w:rsidRPr="00252FDF">
        <w:rPr>
          <w:rFonts w:cstheme="minorHAnsi"/>
          <w:i/>
          <w:sz w:val="24"/>
          <w:szCs w:val="24"/>
        </w:rPr>
        <w:t>MS</w:t>
      </w:r>
      <w:r>
        <w:rPr>
          <w:rFonts w:cstheme="minorHAnsi"/>
          <w:i/>
          <w:sz w:val="24"/>
          <w:szCs w:val="24"/>
        </w:rPr>
        <w:t>a</w:t>
      </w:r>
      <w:r w:rsidRPr="00252FDF">
        <w:rPr>
          <w:rFonts w:cstheme="minorHAnsi"/>
          <w:i/>
          <w:sz w:val="24"/>
          <w:szCs w:val="24"/>
        </w:rPr>
        <w:t>ll</w:t>
      </w:r>
      <w:proofErr w:type="spellEnd"/>
      <w:r w:rsidRPr="00252FDF">
        <w:rPr>
          <w:rFonts w:cstheme="minorHAnsi"/>
          <w:i/>
          <w:sz w:val="24"/>
          <w:szCs w:val="24"/>
        </w:rPr>
        <w:t xml:space="preserve"> </w:t>
      </w:r>
      <w:r>
        <w:rPr>
          <w:rFonts w:cstheme="minorHAnsi"/>
          <w:i/>
          <w:sz w:val="24"/>
          <w:szCs w:val="24"/>
        </w:rPr>
        <w:t>s</w:t>
      </w:r>
      <w:r w:rsidRPr="00252FDF">
        <w:rPr>
          <w:rFonts w:cstheme="minorHAnsi"/>
          <w:i/>
          <w:sz w:val="24"/>
          <w:szCs w:val="24"/>
        </w:rPr>
        <w:t>amples</w:t>
      </w:r>
      <w:r>
        <w:rPr>
          <w:rFonts w:cstheme="minorHAnsi"/>
          <w:i/>
          <w:sz w:val="24"/>
          <w:szCs w:val="24"/>
        </w:rPr>
        <w:t>, expanded methods and results</w:t>
      </w:r>
    </w:p>
    <w:p w:rsidR="007F7191" w:rsidRDefault="007F7191" w:rsidP="007F7191">
      <w:pPr>
        <w:spacing w:before="120" w:after="240" w:line="480" w:lineRule="auto"/>
        <w:ind w:firstLine="720"/>
        <w:rPr>
          <w:rFonts w:cstheme="minorHAnsi"/>
          <w:sz w:val="24"/>
          <w:szCs w:val="24"/>
        </w:rPr>
      </w:pPr>
      <w:r w:rsidRPr="00AB4F67">
        <w:rPr>
          <w:rFonts w:cstheme="minorHAnsi"/>
          <w:sz w:val="24"/>
          <w:szCs w:val="24"/>
        </w:rPr>
        <w:t xml:space="preserve">PCA-LDA was also performed on the same dataset of DESI-MS average mass spectra to quantify the separation between normal </w:t>
      </w:r>
      <w:proofErr w:type="spellStart"/>
      <w:r>
        <w:rPr>
          <w:rFonts w:cstheme="minorHAnsi"/>
          <w:sz w:val="24"/>
          <w:szCs w:val="24"/>
        </w:rPr>
        <w:t>urot</w:t>
      </w:r>
      <w:r w:rsidRPr="00AB4F67">
        <w:rPr>
          <w:rFonts w:cstheme="minorHAnsi"/>
          <w:sz w:val="24"/>
          <w:szCs w:val="24"/>
        </w:rPr>
        <w:t>heli</w:t>
      </w:r>
      <w:r>
        <w:rPr>
          <w:rFonts w:cstheme="minorHAnsi"/>
          <w:sz w:val="24"/>
          <w:szCs w:val="24"/>
        </w:rPr>
        <w:t>um</w:t>
      </w:r>
      <w:proofErr w:type="spellEnd"/>
      <w:r w:rsidRPr="00AB4F67">
        <w:rPr>
          <w:rFonts w:cstheme="minorHAnsi"/>
          <w:sz w:val="24"/>
          <w:szCs w:val="24"/>
        </w:rPr>
        <w:t xml:space="preserve">, high-risk breed </w:t>
      </w:r>
      <w:proofErr w:type="spellStart"/>
      <w:r w:rsidRPr="00AB4F67">
        <w:rPr>
          <w:rFonts w:cstheme="minorHAnsi"/>
          <w:sz w:val="24"/>
          <w:szCs w:val="24"/>
        </w:rPr>
        <w:t>InvUC</w:t>
      </w:r>
      <w:proofErr w:type="spellEnd"/>
      <w:r w:rsidRPr="00AB4F67">
        <w:rPr>
          <w:rFonts w:cstheme="minorHAnsi"/>
          <w:sz w:val="24"/>
          <w:szCs w:val="24"/>
        </w:rPr>
        <w:t xml:space="preserve"> and low-risk breed </w:t>
      </w:r>
      <w:proofErr w:type="spellStart"/>
      <w:r w:rsidRPr="00AB4F67">
        <w:rPr>
          <w:rFonts w:cstheme="minorHAnsi"/>
          <w:sz w:val="24"/>
          <w:szCs w:val="24"/>
        </w:rPr>
        <w:t>InvUC</w:t>
      </w:r>
      <w:proofErr w:type="spellEnd"/>
      <w:r w:rsidRPr="00AB4F67">
        <w:rPr>
          <w:rFonts w:cstheme="minorHAnsi"/>
          <w:sz w:val="24"/>
          <w:szCs w:val="24"/>
        </w:rPr>
        <w:t xml:space="preserve">.  The dataset including distinct </w:t>
      </w:r>
      <w:proofErr w:type="spellStart"/>
      <w:r w:rsidRPr="00AB4F67">
        <w:rPr>
          <w:rFonts w:cstheme="minorHAnsi"/>
          <w:sz w:val="24"/>
          <w:szCs w:val="24"/>
        </w:rPr>
        <w:t>InvUC</w:t>
      </w:r>
      <w:proofErr w:type="spellEnd"/>
      <w:r w:rsidRPr="00AB4F67">
        <w:rPr>
          <w:rFonts w:cstheme="minorHAnsi"/>
          <w:sz w:val="24"/>
          <w:szCs w:val="24"/>
        </w:rPr>
        <w:t xml:space="preserve"> and distinct </w:t>
      </w:r>
      <w:proofErr w:type="spellStart"/>
      <w:r>
        <w:rPr>
          <w:rFonts w:cstheme="minorHAnsi"/>
          <w:sz w:val="24"/>
          <w:szCs w:val="24"/>
        </w:rPr>
        <w:t>uro</w:t>
      </w:r>
      <w:r w:rsidRPr="00AB4F67">
        <w:rPr>
          <w:rFonts w:cstheme="minorHAnsi"/>
          <w:sz w:val="24"/>
          <w:szCs w:val="24"/>
        </w:rPr>
        <w:t>thelial</w:t>
      </w:r>
      <w:proofErr w:type="spellEnd"/>
      <w:r w:rsidRPr="00AB4F67">
        <w:rPr>
          <w:rFonts w:cstheme="minorHAnsi"/>
          <w:sz w:val="24"/>
          <w:szCs w:val="24"/>
        </w:rPr>
        <w:t xml:space="preserve"> average mass spectra from DESI-MS negative mode </w:t>
      </w:r>
      <w:r w:rsidRPr="00AB4F67">
        <w:rPr>
          <w:rFonts w:cstheme="minorHAnsi"/>
          <w:i/>
          <w:sz w:val="24"/>
          <w:szCs w:val="24"/>
        </w:rPr>
        <w:t>m/z</w:t>
      </w:r>
      <w:r w:rsidRPr="00AB4F67">
        <w:rPr>
          <w:rFonts w:cstheme="minorHAnsi"/>
          <w:sz w:val="24"/>
          <w:szCs w:val="24"/>
        </w:rPr>
        <w:t xml:space="preserve"> range 277 – 286 and 557 – 568.  By “distinct” we mean that histopathology characterized each averaged mass spectrum as including only </w:t>
      </w:r>
      <w:proofErr w:type="spellStart"/>
      <w:r w:rsidRPr="00AB4F67">
        <w:rPr>
          <w:rFonts w:cstheme="minorHAnsi"/>
          <w:sz w:val="24"/>
          <w:szCs w:val="24"/>
        </w:rPr>
        <w:t>InvUC</w:t>
      </w:r>
      <w:proofErr w:type="spellEnd"/>
      <w:r w:rsidRPr="00AB4F67">
        <w:rPr>
          <w:rFonts w:cstheme="minorHAnsi"/>
          <w:sz w:val="24"/>
          <w:szCs w:val="24"/>
        </w:rPr>
        <w:t xml:space="preserve"> or normal </w:t>
      </w:r>
      <w:proofErr w:type="spellStart"/>
      <w:r>
        <w:rPr>
          <w:rFonts w:cstheme="minorHAnsi"/>
          <w:sz w:val="24"/>
          <w:szCs w:val="24"/>
        </w:rPr>
        <w:t>uro</w:t>
      </w:r>
      <w:r w:rsidRPr="00AB4F67">
        <w:rPr>
          <w:rFonts w:cstheme="minorHAnsi"/>
          <w:sz w:val="24"/>
          <w:szCs w:val="24"/>
        </w:rPr>
        <w:t>thelial</w:t>
      </w:r>
      <w:proofErr w:type="spellEnd"/>
      <w:r w:rsidRPr="00AB4F67">
        <w:rPr>
          <w:rFonts w:cstheme="minorHAnsi"/>
          <w:sz w:val="24"/>
          <w:szCs w:val="24"/>
        </w:rPr>
        <w:t xml:space="preserve"> tissue.  For this DESI three class model, high </w:t>
      </w:r>
      <w:proofErr w:type="spellStart"/>
      <w:r w:rsidRPr="00AB4F67">
        <w:rPr>
          <w:rFonts w:cstheme="minorHAnsi"/>
          <w:sz w:val="24"/>
          <w:szCs w:val="24"/>
        </w:rPr>
        <w:t>InvUC</w:t>
      </w:r>
      <w:proofErr w:type="spellEnd"/>
      <w:r w:rsidRPr="00AB4F67">
        <w:rPr>
          <w:rFonts w:cstheme="minorHAnsi"/>
          <w:sz w:val="24"/>
          <w:szCs w:val="24"/>
        </w:rPr>
        <w:t xml:space="preserve"> risk breeds’ averaged mass spectra included fourteen averaged mass spectra (n=14). Low </w:t>
      </w:r>
      <w:proofErr w:type="spellStart"/>
      <w:r w:rsidRPr="00AB4F67">
        <w:rPr>
          <w:rFonts w:cstheme="minorHAnsi"/>
          <w:sz w:val="24"/>
          <w:szCs w:val="24"/>
        </w:rPr>
        <w:t>InvUC</w:t>
      </w:r>
      <w:proofErr w:type="spellEnd"/>
      <w:r w:rsidRPr="00AB4F67">
        <w:rPr>
          <w:rFonts w:cstheme="minorHAnsi"/>
          <w:sz w:val="24"/>
          <w:szCs w:val="24"/>
        </w:rPr>
        <w:t xml:space="preserve"> risk breeds’ averaged mass spectra and normal </w:t>
      </w:r>
      <w:proofErr w:type="spellStart"/>
      <w:r>
        <w:rPr>
          <w:rFonts w:cstheme="minorHAnsi"/>
          <w:sz w:val="24"/>
          <w:szCs w:val="24"/>
        </w:rPr>
        <w:t>uro</w:t>
      </w:r>
      <w:r w:rsidRPr="00AB4F67">
        <w:rPr>
          <w:rFonts w:cstheme="minorHAnsi"/>
          <w:sz w:val="24"/>
          <w:szCs w:val="24"/>
        </w:rPr>
        <w:t>thelial</w:t>
      </w:r>
      <w:proofErr w:type="spellEnd"/>
      <w:r w:rsidRPr="00AB4F67">
        <w:rPr>
          <w:rFonts w:cstheme="minorHAnsi"/>
          <w:sz w:val="24"/>
          <w:szCs w:val="24"/>
        </w:rPr>
        <w:t xml:space="preserve"> average mass spectra each included nine averaged mass spectra (n=9).  We recognize the limited number of data points used as the basis for PCA-LDA and hypothesize that larger data sets and more detailed pathological evaluation could improve classification of </w:t>
      </w:r>
      <w:proofErr w:type="spellStart"/>
      <w:r w:rsidRPr="00AB4F67">
        <w:rPr>
          <w:rFonts w:cstheme="minorHAnsi"/>
          <w:sz w:val="24"/>
          <w:szCs w:val="24"/>
        </w:rPr>
        <w:t>InvUC</w:t>
      </w:r>
      <w:proofErr w:type="spellEnd"/>
      <w:r w:rsidRPr="00AB4F67">
        <w:rPr>
          <w:rFonts w:cstheme="minorHAnsi"/>
          <w:sz w:val="24"/>
          <w:szCs w:val="24"/>
        </w:rPr>
        <w:t xml:space="preserve"> and normal average mass spectra.  The first four PCs were used for </w:t>
      </w:r>
      <w:r w:rsidRPr="00AB4F67">
        <w:rPr>
          <w:rFonts w:cstheme="minorHAnsi"/>
          <w:sz w:val="24"/>
          <w:szCs w:val="24"/>
        </w:rPr>
        <w:lastRenderedPageBreak/>
        <w:t xml:space="preserve">classification.  The first four PCs provided 90% of the cumulative variance.  More than four PCs did not substantially increase the prediction rates for any class.  Four cross-validation deletion groups were used.  Four or more cross validation deletion groups did not substantially increase the prediction rates for any class.  </w:t>
      </w:r>
    </w:p>
    <w:p w:rsidR="007F7191" w:rsidRPr="00252FDF" w:rsidRDefault="007F7191" w:rsidP="007F7191">
      <w:pPr>
        <w:spacing w:line="480" w:lineRule="auto"/>
        <w:rPr>
          <w:rFonts w:cstheme="minorHAnsi"/>
          <w:i/>
          <w:sz w:val="24"/>
          <w:szCs w:val="24"/>
        </w:rPr>
      </w:pPr>
      <w:r w:rsidRPr="00252FDF">
        <w:rPr>
          <w:rFonts w:cstheme="minorHAnsi"/>
          <w:i/>
          <w:sz w:val="24"/>
          <w:szCs w:val="24"/>
        </w:rPr>
        <w:t>PCA-LDA of TS-MS data</w:t>
      </w:r>
      <w:r>
        <w:rPr>
          <w:rFonts w:cstheme="minorHAnsi"/>
          <w:i/>
          <w:sz w:val="24"/>
          <w:szCs w:val="24"/>
        </w:rPr>
        <w:t>, expanded methods</w:t>
      </w:r>
    </w:p>
    <w:p w:rsidR="007F7191" w:rsidRPr="00AB4F67" w:rsidRDefault="007F7191" w:rsidP="007F7191">
      <w:pPr>
        <w:spacing w:after="0" w:line="480" w:lineRule="auto"/>
        <w:ind w:firstLine="720"/>
        <w:rPr>
          <w:rFonts w:cstheme="minorHAnsi"/>
          <w:sz w:val="24"/>
          <w:szCs w:val="24"/>
        </w:rPr>
      </w:pPr>
      <w:r w:rsidRPr="00AB4F67">
        <w:rPr>
          <w:rFonts w:cstheme="minorHAnsi"/>
          <w:sz w:val="24"/>
          <w:szCs w:val="24"/>
        </w:rPr>
        <w:t xml:space="preserve">PCA-LDA was performed on the selected dataset of TS-MS mass spectra to quantify the separation between normal </w:t>
      </w:r>
      <w:proofErr w:type="spellStart"/>
      <w:r>
        <w:rPr>
          <w:rFonts w:cstheme="minorHAnsi"/>
          <w:sz w:val="24"/>
          <w:szCs w:val="24"/>
        </w:rPr>
        <w:t>uro</w:t>
      </w:r>
      <w:r w:rsidRPr="00AB4F67">
        <w:rPr>
          <w:rFonts w:cstheme="minorHAnsi"/>
          <w:sz w:val="24"/>
          <w:szCs w:val="24"/>
        </w:rPr>
        <w:t>theli</w:t>
      </w:r>
      <w:r>
        <w:rPr>
          <w:rFonts w:cstheme="minorHAnsi"/>
          <w:sz w:val="24"/>
          <w:szCs w:val="24"/>
        </w:rPr>
        <w:t>um</w:t>
      </w:r>
      <w:proofErr w:type="spellEnd"/>
      <w:r w:rsidRPr="00AB4F67">
        <w:rPr>
          <w:rFonts w:cstheme="minorHAnsi"/>
          <w:sz w:val="24"/>
          <w:szCs w:val="24"/>
        </w:rPr>
        <w:t xml:space="preserve"> and </w:t>
      </w:r>
      <w:proofErr w:type="spellStart"/>
      <w:r w:rsidRPr="00AB4F67">
        <w:rPr>
          <w:rFonts w:cstheme="minorHAnsi"/>
          <w:sz w:val="24"/>
          <w:szCs w:val="24"/>
        </w:rPr>
        <w:t>InvUC</w:t>
      </w:r>
      <w:proofErr w:type="spellEnd"/>
      <w:r w:rsidRPr="00AB4F67">
        <w:rPr>
          <w:rFonts w:cstheme="minorHAnsi"/>
          <w:sz w:val="24"/>
          <w:szCs w:val="24"/>
        </w:rPr>
        <w:t xml:space="preserve">.  The selected dataset included homogeneous </w:t>
      </w:r>
      <w:proofErr w:type="spellStart"/>
      <w:r w:rsidRPr="00AB4F67">
        <w:rPr>
          <w:rFonts w:cstheme="minorHAnsi"/>
          <w:sz w:val="24"/>
          <w:szCs w:val="24"/>
        </w:rPr>
        <w:t>InvUC</w:t>
      </w:r>
      <w:proofErr w:type="spellEnd"/>
      <w:r w:rsidRPr="00AB4F67">
        <w:rPr>
          <w:rFonts w:cstheme="minorHAnsi"/>
          <w:sz w:val="24"/>
          <w:szCs w:val="24"/>
        </w:rPr>
        <w:t xml:space="preserve"> and normal </w:t>
      </w:r>
      <w:proofErr w:type="spellStart"/>
      <w:r>
        <w:rPr>
          <w:rFonts w:cstheme="minorHAnsi"/>
          <w:sz w:val="24"/>
          <w:szCs w:val="24"/>
        </w:rPr>
        <w:t>uro</w:t>
      </w:r>
      <w:r w:rsidRPr="00AB4F67">
        <w:rPr>
          <w:rFonts w:cstheme="minorHAnsi"/>
          <w:sz w:val="24"/>
          <w:szCs w:val="24"/>
        </w:rPr>
        <w:t>thelial</w:t>
      </w:r>
      <w:proofErr w:type="spellEnd"/>
      <w:r w:rsidRPr="00AB4F67">
        <w:rPr>
          <w:rFonts w:cstheme="minorHAnsi"/>
          <w:sz w:val="24"/>
          <w:szCs w:val="24"/>
        </w:rPr>
        <w:t xml:space="preserve"> mass spectra using selected peaks from TS-MS negative mode </w:t>
      </w:r>
      <w:r w:rsidRPr="00AB4F67">
        <w:rPr>
          <w:rFonts w:cstheme="minorHAnsi"/>
          <w:i/>
          <w:sz w:val="24"/>
          <w:szCs w:val="24"/>
        </w:rPr>
        <w:t>m/z</w:t>
      </w:r>
      <w:r w:rsidRPr="00AB4F67">
        <w:rPr>
          <w:rFonts w:cstheme="minorHAnsi"/>
          <w:sz w:val="24"/>
          <w:szCs w:val="24"/>
        </w:rPr>
        <w:t xml:space="preserve"> range 277 – 286 and 557 – 568.  By homogeneous we mean that histopathology characterized the touch including only </w:t>
      </w:r>
      <w:proofErr w:type="spellStart"/>
      <w:r w:rsidRPr="00AB4F67">
        <w:rPr>
          <w:rFonts w:cstheme="minorHAnsi"/>
          <w:sz w:val="24"/>
          <w:szCs w:val="24"/>
        </w:rPr>
        <w:t>InvUC</w:t>
      </w:r>
      <w:proofErr w:type="spellEnd"/>
      <w:r w:rsidRPr="00AB4F67">
        <w:rPr>
          <w:rFonts w:cstheme="minorHAnsi"/>
          <w:sz w:val="24"/>
          <w:szCs w:val="24"/>
        </w:rPr>
        <w:t xml:space="preserve"> or normal </w:t>
      </w:r>
      <w:proofErr w:type="spellStart"/>
      <w:r>
        <w:rPr>
          <w:rFonts w:cstheme="minorHAnsi"/>
          <w:sz w:val="24"/>
          <w:szCs w:val="24"/>
        </w:rPr>
        <w:t>uro</w:t>
      </w:r>
      <w:r w:rsidRPr="00AB4F67">
        <w:rPr>
          <w:rFonts w:cstheme="minorHAnsi"/>
          <w:sz w:val="24"/>
          <w:szCs w:val="24"/>
        </w:rPr>
        <w:t>thelial</w:t>
      </w:r>
      <w:proofErr w:type="spellEnd"/>
      <w:r w:rsidRPr="00AB4F67">
        <w:rPr>
          <w:rFonts w:cstheme="minorHAnsi"/>
          <w:sz w:val="24"/>
          <w:szCs w:val="24"/>
        </w:rPr>
        <w:t xml:space="preserve"> tissue.  For this TS two-class model, normal </w:t>
      </w:r>
      <w:proofErr w:type="spellStart"/>
      <w:r>
        <w:rPr>
          <w:rFonts w:cstheme="minorHAnsi"/>
          <w:sz w:val="24"/>
          <w:szCs w:val="24"/>
        </w:rPr>
        <w:t>uro</w:t>
      </w:r>
      <w:r w:rsidRPr="00AB4F67">
        <w:rPr>
          <w:rFonts w:cstheme="minorHAnsi"/>
          <w:sz w:val="24"/>
          <w:szCs w:val="24"/>
        </w:rPr>
        <w:t>thelial</w:t>
      </w:r>
      <w:proofErr w:type="spellEnd"/>
      <w:r w:rsidRPr="00AB4F67">
        <w:rPr>
          <w:rFonts w:cstheme="minorHAnsi"/>
          <w:sz w:val="24"/>
          <w:szCs w:val="24"/>
        </w:rPr>
        <w:t xml:space="preserve"> mass spectra included fifty-one mass spectra (n=51) and </w:t>
      </w:r>
      <w:proofErr w:type="spellStart"/>
      <w:r>
        <w:rPr>
          <w:rFonts w:cstheme="minorHAnsi"/>
          <w:sz w:val="24"/>
          <w:szCs w:val="24"/>
        </w:rPr>
        <w:t>InvUC</w:t>
      </w:r>
      <w:proofErr w:type="spellEnd"/>
      <w:r w:rsidRPr="00AB4F67">
        <w:rPr>
          <w:rFonts w:cstheme="minorHAnsi"/>
          <w:sz w:val="24"/>
          <w:szCs w:val="24"/>
        </w:rPr>
        <w:t xml:space="preserve"> mass spectra included </w:t>
      </w:r>
      <w:r w:rsidRPr="002B2474">
        <w:rPr>
          <w:rFonts w:cstheme="minorHAnsi"/>
          <w:sz w:val="24"/>
          <w:szCs w:val="24"/>
        </w:rPr>
        <w:t>one hundred mass spectra (n=100).  The first five PCs were used for classification. More than</w:t>
      </w:r>
      <w:r w:rsidRPr="00AB4F67">
        <w:rPr>
          <w:rFonts w:cstheme="minorHAnsi"/>
          <w:sz w:val="24"/>
          <w:szCs w:val="24"/>
        </w:rPr>
        <w:t xml:space="preserve"> five PCs did not substantially increase the prediction rates for both classes (normal </w:t>
      </w:r>
      <w:proofErr w:type="spellStart"/>
      <w:r>
        <w:rPr>
          <w:rFonts w:cstheme="minorHAnsi"/>
          <w:sz w:val="24"/>
          <w:szCs w:val="24"/>
        </w:rPr>
        <w:t>uro</w:t>
      </w:r>
      <w:r w:rsidRPr="00AB4F67">
        <w:rPr>
          <w:rFonts w:cstheme="minorHAnsi"/>
          <w:sz w:val="24"/>
          <w:szCs w:val="24"/>
        </w:rPr>
        <w:t>theli</w:t>
      </w:r>
      <w:r>
        <w:rPr>
          <w:rFonts w:cstheme="minorHAnsi"/>
          <w:sz w:val="24"/>
          <w:szCs w:val="24"/>
        </w:rPr>
        <w:t>um</w:t>
      </w:r>
      <w:proofErr w:type="spellEnd"/>
      <w:r w:rsidRPr="00AB4F67">
        <w:rPr>
          <w:rFonts w:cstheme="minorHAnsi"/>
          <w:sz w:val="24"/>
          <w:szCs w:val="24"/>
        </w:rPr>
        <w:t xml:space="preserve"> and </w:t>
      </w:r>
      <w:proofErr w:type="spellStart"/>
      <w:r w:rsidRPr="00AB4F67">
        <w:rPr>
          <w:rFonts w:cstheme="minorHAnsi"/>
          <w:sz w:val="24"/>
          <w:szCs w:val="24"/>
        </w:rPr>
        <w:t>InvUC</w:t>
      </w:r>
      <w:proofErr w:type="spellEnd"/>
      <w:r w:rsidRPr="00AB4F67">
        <w:rPr>
          <w:rFonts w:cstheme="minorHAnsi"/>
          <w:sz w:val="24"/>
          <w:szCs w:val="24"/>
        </w:rPr>
        <w:t xml:space="preserve">).  Five cross-validation deletion groups were used.  The first five PCs provided 77.4% of the cumulative variance.  Five or more cross validation deletion groups did not substantially increase the prediction rates for either class (normal </w:t>
      </w:r>
      <w:proofErr w:type="spellStart"/>
      <w:r>
        <w:rPr>
          <w:rFonts w:cstheme="minorHAnsi"/>
          <w:sz w:val="24"/>
          <w:szCs w:val="24"/>
        </w:rPr>
        <w:t>urothelium</w:t>
      </w:r>
      <w:proofErr w:type="spellEnd"/>
      <w:r w:rsidRPr="00AB4F67">
        <w:rPr>
          <w:rFonts w:cstheme="minorHAnsi"/>
          <w:sz w:val="24"/>
          <w:szCs w:val="24"/>
        </w:rPr>
        <w:t xml:space="preserve"> or </w:t>
      </w:r>
      <w:proofErr w:type="spellStart"/>
      <w:r w:rsidRPr="00AB4F67">
        <w:rPr>
          <w:rFonts w:cstheme="minorHAnsi"/>
          <w:sz w:val="24"/>
          <w:szCs w:val="24"/>
        </w:rPr>
        <w:t>InvUC</w:t>
      </w:r>
      <w:proofErr w:type="spellEnd"/>
      <w:r w:rsidRPr="00AB4F67">
        <w:rPr>
          <w:rFonts w:cstheme="minorHAnsi"/>
          <w:sz w:val="24"/>
          <w:szCs w:val="24"/>
        </w:rPr>
        <w:t xml:space="preserve">).  </w:t>
      </w:r>
    </w:p>
    <w:p w:rsidR="007F7191" w:rsidRDefault="007F7191" w:rsidP="007F7191">
      <w:pPr>
        <w:spacing w:before="120" w:after="0" w:line="480" w:lineRule="auto"/>
        <w:ind w:firstLine="720"/>
        <w:rPr>
          <w:rFonts w:cstheme="minorHAnsi"/>
          <w:sz w:val="24"/>
          <w:szCs w:val="24"/>
        </w:rPr>
      </w:pPr>
      <w:r w:rsidRPr="00AB4F67">
        <w:rPr>
          <w:rFonts w:cstheme="minorHAnsi"/>
          <w:sz w:val="24"/>
          <w:szCs w:val="24"/>
        </w:rPr>
        <w:t xml:space="preserve">PCA-LDA was performed on the same dataset of DESI-MS average mass spectra including unknown breeds to quantify the separation between normal </w:t>
      </w:r>
      <w:proofErr w:type="spellStart"/>
      <w:r>
        <w:rPr>
          <w:rFonts w:cstheme="minorHAnsi"/>
          <w:sz w:val="24"/>
          <w:szCs w:val="24"/>
        </w:rPr>
        <w:t>urothelium</w:t>
      </w:r>
      <w:proofErr w:type="spellEnd"/>
      <w:r w:rsidRPr="00AB4F67">
        <w:rPr>
          <w:rFonts w:cstheme="minorHAnsi"/>
          <w:sz w:val="24"/>
          <w:szCs w:val="24"/>
        </w:rPr>
        <w:t xml:space="preserve"> and </w:t>
      </w:r>
      <w:proofErr w:type="spellStart"/>
      <w:r w:rsidRPr="00AB4F67">
        <w:rPr>
          <w:rFonts w:cstheme="minorHAnsi"/>
          <w:sz w:val="24"/>
          <w:szCs w:val="24"/>
        </w:rPr>
        <w:t>InvUC</w:t>
      </w:r>
      <w:proofErr w:type="spellEnd"/>
      <w:r w:rsidRPr="00AB4F67">
        <w:rPr>
          <w:rFonts w:cstheme="minorHAnsi"/>
          <w:sz w:val="24"/>
          <w:szCs w:val="24"/>
        </w:rPr>
        <w:t xml:space="preserve">.  The dataset included homogeneous </w:t>
      </w:r>
      <w:proofErr w:type="spellStart"/>
      <w:r w:rsidRPr="00AB4F67">
        <w:rPr>
          <w:rFonts w:cstheme="minorHAnsi"/>
          <w:sz w:val="24"/>
          <w:szCs w:val="24"/>
        </w:rPr>
        <w:t>InvUC</w:t>
      </w:r>
      <w:proofErr w:type="spellEnd"/>
      <w:r w:rsidRPr="00AB4F67">
        <w:rPr>
          <w:rFonts w:cstheme="minorHAnsi"/>
          <w:sz w:val="24"/>
          <w:szCs w:val="24"/>
        </w:rPr>
        <w:t xml:space="preserve"> and normal </w:t>
      </w:r>
      <w:proofErr w:type="spellStart"/>
      <w:r>
        <w:rPr>
          <w:rFonts w:cstheme="minorHAnsi"/>
          <w:sz w:val="24"/>
          <w:szCs w:val="24"/>
        </w:rPr>
        <w:t>urothelium</w:t>
      </w:r>
      <w:proofErr w:type="spellEnd"/>
      <w:r w:rsidRPr="00AB4F67">
        <w:rPr>
          <w:rFonts w:cstheme="minorHAnsi"/>
          <w:sz w:val="24"/>
          <w:szCs w:val="24"/>
        </w:rPr>
        <w:t xml:space="preserve"> average mass spectra from DESI-MS negative mode </w:t>
      </w:r>
      <w:r w:rsidRPr="00AB4F67">
        <w:rPr>
          <w:rFonts w:cstheme="minorHAnsi"/>
          <w:i/>
          <w:sz w:val="24"/>
          <w:szCs w:val="24"/>
        </w:rPr>
        <w:t>m/z</w:t>
      </w:r>
      <w:r w:rsidRPr="00AB4F67">
        <w:rPr>
          <w:rFonts w:cstheme="minorHAnsi"/>
          <w:sz w:val="24"/>
          <w:szCs w:val="24"/>
        </w:rPr>
        <w:t xml:space="preserve"> range 277 – 286 and 557 – 568.  For this DESI two class model, </w:t>
      </w:r>
      <w:proofErr w:type="spellStart"/>
      <w:r w:rsidRPr="00AB4F67">
        <w:rPr>
          <w:rFonts w:cstheme="minorHAnsi"/>
          <w:sz w:val="24"/>
          <w:szCs w:val="24"/>
        </w:rPr>
        <w:t>InvUC</w:t>
      </w:r>
      <w:proofErr w:type="spellEnd"/>
      <w:r w:rsidRPr="00AB4F67">
        <w:rPr>
          <w:rFonts w:cstheme="minorHAnsi"/>
          <w:sz w:val="24"/>
          <w:szCs w:val="24"/>
        </w:rPr>
        <w:t xml:space="preserve"> averaged mass spectra included forty-one averaged mass spectra (n=41). Normal </w:t>
      </w:r>
      <w:proofErr w:type="spellStart"/>
      <w:r>
        <w:rPr>
          <w:rFonts w:cstheme="minorHAnsi"/>
          <w:sz w:val="24"/>
          <w:szCs w:val="24"/>
        </w:rPr>
        <w:t>urothelium</w:t>
      </w:r>
      <w:proofErr w:type="spellEnd"/>
      <w:r w:rsidRPr="00AB4F67">
        <w:rPr>
          <w:rFonts w:cstheme="minorHAnsi"/>
          <w:sz w:val="24"/>
          <w:szCs w:val="24"/>
        </w:rPr>
        <w:t xml:space="preserve"> average mass spectra included nine averaged mass spectra (n=9).  We recognize the </w:t>
      </w:r>
      <w:r w:rsidRPr="00AB4F67">
        <w:rPr>
          <w:rFonts w:cstheme="minorHAnsi"/>
          <w:sz w:val="24"/>
          <w:szCs w:val="24"/>
        </w:rPr>
        <w:lastRenderedPageBreak/>
        <w:t xml:space="preserve">limited number of data points used as the basis for PCA-LDA and hypothesize that larger data sets and more detailed pathological evaluation might improve classification of </w:t>
      </w:r>
      <w:proofErr w:type="spellStart"/>
      <w:r w:rsidRPr="00AB4F67">
        <w:rPr>
          <w:rFonts w:cstheme="minorHAnsi"/>
          <w:sz w:val="24"/>
          <w:szCs w:val="24"/>
        </w:rPr>
        <w:t>InvUC</w:t>
      </w:r>
      <w:proofErr w:type="spellEnd"/>
      <w:r w:rsidRPr="00AB4F67">
        <w:rPr>
          <w:rFonts w:cstheme="minorHAnsi"/>
          <w:sz w:val="24"/>
          <w:szCs w:val="24"/>
        </w:rPr>
        <w:t xml:space="preserve"> and normal average mass spectra. The first four PCs were used for classification.  The first four PCs provided 87.4% of the cumulative variance.  More than four PCs did not substantially increase the prediction rates for any class. Five cross-validation deletion groups were used.  Four or more cross validation deletion groups did not substantially increase the prediction rates for any class.  </w:t>
      </w:r>
    </w:p>
    <w:p w:rsidR="007F7191" w:rsidRPr="000541E8" w:rsidRDefault="007F7191" w:rsidP="007F7191">
      <w:pPr>
        <w:pStyle w:val="Heading1"/>
        <w:spacing w:line="480" w:lineRule="auto"/>
        <w:rPr>
          <w:b w:val="0"/>
          <w:i/>
          <w:color w:val="auto"/>
          <w:sz w:val="24"/>
          <w:szCs w:val="24"/>
        </w:rPr>
      </w:pPr>
      <w:r>
        <w:rPr>
          <w:b w:val="0"/>
          <w:i/>
          <w:color w:val="auto"/>
          <w:sz w:val="24"/>
          <w:szCs w:val="24"/>
        </w:rPr>
        <w:t>Supplementary data - p</w:t>
      </w:r>
      <w:r w:rsidRPr="000541E8">
        <w:rPr>
          <w:b w:val="0"/>
          <w:i/>
          <w:color w:val="auto"/>
          <w:sz w:val="24"/>
          <w:szCs w:val="24"/>
        </w:rPr>
        <w:t>rogression of analysis of</w:t>
      </w:r>
      <w:r>
        <w:rPr>
          <w:b w:val="0"/>
          <w:i/>
          <w:color w:val="auto"/>
          <w:sz w:val="24"/>
          <w:szCs w:val="24"/>
        </w:rPr>
        <w:t xml:space="preserve"> TS-MS</w:t>
      </w:r>
      <w:r w:rsidRPr="000541E8">
        <w:rPr>
          <w:b w:val="0"/>
          <w:i/>
          <w:color w:val="auto"/>
          <w:sz w:val="24"/>
          <w:szCs w:val="24"/>
        </w:rPr>
        <w:t xml:space="preserve"> data</w:t>
      </w:r>
    </w:p>
    <w:p w:rsidR="007F7191" w:rsidRDefault="007F7191" w:rsidP="007F7191">
      <w:pPr>
        <w:tabs>
          <w:tab w:val="left" w:pos="1125"/>
        </w:tabs>
        <w:spacing w:before="120" w:after="120" w:line="480" w:lineRule="auto"/>
        <w:ind w:firstLine="720"/>
        <w:rPr>
          <w:sz w:val="24"/>
        </w:rPr>
      </w:pPr>
      <w:r>
        <w:rPr>
          <w:sz w:val="24"/>
        </w:rPr>
        <w:t>PCA of TS-MS data was first performed on the entire mass spectral range (</w:t>
      </w:r>
      <w:r w:rsidRPr="006567DB">
        <w:rPr>
          <w:i/>
          <w:sz w:val="24"/>
        </w:rPr>
        <w:t>m/z</w:t>
      </w:r>
      <w:r>
        <w:rPr>
          <w:sz w:val="24"/>
        </w:rPr>
        <w:t xml:space="preserve"> 200 – 1000) (Supplemental Fig. S1). Although there was not a clear distinction between </w:t>
      </w:r>
      <w:proofErr w:type="spellStart"/>
      <w:r>
        <w:rPr>
          <w:sz w:val="24"/>
        </w:rPr>
        <w:t>InvUC</w:t>
      </w:r>
      <w:proofErr w:type="spellEnd"/>
      <w:r>
        <w:rPr>
          <w:sz w:val="24"/>
        </w:rPr>
        <w:t xml:space="preserve"> and normal </w:t>
      </w:r>
      <w:proofErr w:type="spellStart"/>
      <w:r>
        <w:rPr>
          <w:sz w:val="24"/>
        </w:rPr>
        <w:t>urothelium</w:t>
      </w:r>
      <w:proofErr w:type="spellEnd"/>
      <w:r>
        <w:rPr>
          <w:sz w:val="24"/>
        </w:rPr>
        <w:t xml:space="preserve"> using this broad range, peaks of interest emerged.</w:t>
      </w:r>
      <w:r>
        <w:rPr>
          <w:sz w:val="24"/>
          <w:vertAlign w:val="superscript"/>
        </w:rPr>
        <w:t>1</w:t>
      </w:r>
      <w:r>
        <w:rPr>
          <w:sz w:val="24"/>
        </w:rPr>
        <w:t xml:space="preserve"> In the next step in the </w:t>
      </w:r>
      <w:r w:rsidRPr="00C07781">
        <w:rPr>
          <w:sz w:val="24"/>
        </w:rPr>
        <w:t>progression of the analysis, the data range was narrowed to focus on areas where the peaks (</w:t>
      </w:r>
      <w:r w:rsidRPr="00C07781">
        <w:rPr>
          <w:i/>
          <w:sz w:val="24"/>
        </w:rPr>
        <w:t>m/z</w:t>
      </w:r>
      <w:r w:rsidRPr="00C07781">
        <w:rPr>
          <w:sz w:val="24"/>
        </w:rPr>
        <w:t xml:space="preserve"> values)</w:t>
      </w:r>
      <w:r w:rsidRPr="00C07781">
        <w:rPr>
          <w:rStyle w:val="FootnoteReference"/>
          <w:sz w:val="24"/>
        </w:rPr>
        <w:footnoteReference w:id="2"/>
      </w:r>
      <w:r w:rsidRPr="00C07781">
        <w:rPr>
          <w:sz w:val="24"/>
        </w:rPr>
        <w:t xml:space="preserve"> substantially contributed</w:t>
      </w:r>
      <w:r>
        <w:rPr>
          <w:sz w:val="24"/>
        </w:rPr>
        <w:t xml:space="preserve"> to the separation (as characterized by </w:t>
      </w:r>
      <w:r w:rsidRPr="006567DB">
        <w:rPr>
          <w:i/>
          <w:sz w:val="24"/>
        </w:rPr>
        <w:t>m/z</w:t>
      </w:r>
      <w:r>
        <w:rPr>
          <w:sz w:val="24"/>
        </w:rPr>
        <w:t xml:space="preserve"> peak loops emanating from the origin in the same orientation as the axis of separation between </w:t>
      </w:r>
      <w:proofErr w:type="spellStart"/>
      <w:r>
        <w:rPr>
          <w:sz w:val="24"/>
        </w:rPr>
        <w:t>InvUC</w:t>
      </w:r>
      <w:proofErr w:type="spellEnd"/>
      <w:r>
        <w:rPr>
          <w:sz w:val="24"/>
        </w:rPr>
        <w:t xml:space="preserve"> and normal </w:t>
      </w:r>
      <w:proofErr w:type="spellStart"/>
      <w:r>
        <w:rPr>
          <w:sz w:val="24"/>
        </w:rPr>
        <w:t>urothelium</w:t>
      </w:r>
      <w:proofErr w:type="spellEnd"/>
      <w:r>
        <w:rPr>
          <w:sz w:val="24"/>
        </w:rPr>
        <w:t xml:space="preserve">).  For example, </w:t>
      </w:r>
      <w:r w:rsidRPr="0037492E">
        <w:rPr>
          <w:i/>
          <w:sz w:val="24"/>
        </w:rPr>
        <w:t>m/z</w:t>
      </w:r>
      <w:r>
        <w:rPr>
          <w:sz w:val="24"/>
        </w:rPr>
        <w:t xml:space="preserve"> 281.5 </w:t>
      </w:r>
      <w:r w:rsidRPr="00F24C18">
        <w:rPr>
          <w:sz w:val="24"/>
        </w:rPr>
        <w:t>(</w:t>
      </w:r>
      <w:r>
        <w:rPr>
          <w:sz w:val="24"/>
        </w:rPr>
        <w:t>oleic acid</w:t>
      </w:r>
      <w:r w:rsidRPr="00F24C18">
        <w:rPr>
          <w:sz w:val="24"/>
        </w:rPr>
        <w:t>)</w:t>
      </w:r>
      <w:r>
        <w:rPr>
          <w:sz w:val="24"/>
        </w:rPr>
        <w:t xml:space="preserve"> and </w:t>
      </w:r>
      <w:r w:rsidRPr="00E36B7A">
        <w:rPr>
          <w:i/>
          <w:sz w:val="24"/>
        </w:rPr>
        <w:t>m/z</w:t>
      </w:r>
      <w:r>
        <w:rPr>
          <w:sz w:val="24"/>
        </w:rPr>
        <w:t xml:space="preserve"> 563.5 </w:t>
      </w:r>
      <w:r w:rsidRPr="00656629">
        <w:rPr>
          <w:sz w:val="24"/>
        </w:rPr>
        <w:t xml:space="preserve">(oleic acid </w:t>
      </w:r>
      <w:proofErr w:type="spellStart"/>
      <w:r w:rsidRPr="00656629">
        <w:rPr>
          <w:sz w:val="24"/>
        </w:rPr>
        <w:t>dimer</w:t>
      </w:r>
      <w:proofErr w:type="spellEnd"/>
      <w:r w:rsidRPr="00656629">
        <w:rPr>
          <w:sz w:val="24"/>
        </w:rPr>
        <w:t>)</w:t>
      </w:r>
      <w:r>
        <w:rPr>
          <w:sz w:val="24"/>
        </w:rPr>
        <w:t xml:space="preserve"> for abundance in </w:t>
      </w:r>
      <w:proofErr w:type="spellStart"/>
      <w:r>
        <w:rPr>
          <w:sz w:val="24"/>
        </w:rPr>
        <w:t>InvUC</w:t>
      </w:r>
      <w:proofErr w:type="spellEnd"/>
      <w:r>
        <w:rPr>
          <w:sz w:val="24"/>
        </w:rPr>
        <w:t xml:space="preserve"> were selected, among others. PCA was performed on TS-MS data</w:t>
      </w:r>
      <w:r w:rsidRPr="00E4337B">
        <w:rPr>
          <w:sz w:val="24"/>
        </w:rPr>
        <w:t xml:space="preserve"> using selected peaks </w:t>
      </w:r>
      <w:r>
        <w:rPr>
          <w:sz w:val="24"/>
        </w:rPr>
        <w:t>within</w:t>
      </w:r>
      <w:r w:rsidRPr="00E4337B">
        <w:rPr>
          <w:sz w:val="24"/>
        </w:rPr>
        <w:t xml:space="preserve"> negative mode </w:t>
      </w:r>
      <w:r w:rsidRPr="002558E3">
        <w:rPr>
          <w:i/>
          <w:sz w:val="24"/>
        </w:rPr>
        <w:t>m/</w:t>
      </w:r>
      <w:proofErr w:type="spellStart"/>
      <w:r w:rsidRPr="002558E3">
        <w:rPr>
          <w:i/>
          <w:sz w:val="24"/>
        </w:rPr>
        <w:t>z</w:t>
      </w:r>
      <w:r w:rsidRPr="00C07781">
        <w:rPr>
          <w:sz w:val="24"/>
        </w:rPr>
        <w:t>range</w:t>
      </w:r>
      <w:proofErr w:type="spellEnd"/>
      <w:r w:rsidRPr="00C07781">
        <w:rPr>
          <w:sz w:val="24"/>
        </w:rPr>
        <w:t xml:space="preserve"> 252 – 888</w:t>
      </w:r>
      <w:r w:rsidRPr="00C07781">
        <w:rPr>
          <w:rStyle w:val="FootnoteReference"/>
          <w:sz w:val="24"/>
        </w:rPr>
        <w:footnoteReference w:id="3"/>
      </w:r>
      <w:r w:rsidRPr="00C07781">
        <w:rPr>
          <w:sz w:val="24"/>
        </w:rPr>
        <w:t>, as illustrated by Supplemental</w:t>
      </w:r>
      <w:r>
        <w:rPr>
          <w:sz w:val="24"/>
        </w:rPr>
        <w:t xml:space="preserve"> Fig. S2. </w:t>
      </w:r>
      <w:proofErr w:type="gramStart"/>
      <w:r>
        <w:rPr>
          <w:sz w:val="24"/>
        </w:rPr>
        <w:t>A combination of principal components were</w:t>
      </w:r>
      <w:proofErr w:type="gramEnd"/>
      <w:r>
        <w:rPr>
          <w:sz w:val="24"/>
        </w:rPr>
        <w:t xml:space="preserve"> identified in Supplemental Fig. S2 score plot that substantially increased separation of </w:t>
      </w:r>
      <w:proofErr w:type="spellStart"/>
      <w:r>
        <w:rPr>
          <w:sz w:val="24"/>
        </w:rPr>
        <w:t>InvUC</w:t>
      </w:r>
      <w:proofErr w:type="spellEnd"/>
      <w:r>
        <w:rPr>
          <w:sz w:val="24"/>
        </w:rPr>
        <w:t xml:space="preserve"> and normal </w:t>
      </w:r>
      <w:proofErr w:type="spellStart"/>
      <w:r>
        <w:rPr>
          <w:sz w:val="24"/>
        </w:rPr>
        <w:t>urothelial</w:t>
      </w:r>
      <w:proofErr w:type="spellEnd"/>
      <w:r>
        <w:rPr>
          <w:sz w:val="24"/>
        </w:rPr>
        <w:t xml:space="preserve"> average mass spectra relative to Supplemental Fig. S1.  As </w:t>
      </w:r>
      <w:r w:rsidRPr="0037492E">
        <w:rPr>
          <w:i/>
          <w:sz w:val="24"/>
        </w:rPr>
        <w:t>m/z</w:t>
      </w:r>
      <w:r>
        <w:rPr>
          <w:sz w:val="24"/>
        </w:rPr>
        <w:t xml:space="preserve"> 281.5 </w:t>
      </w:r>
      <w:r w:rsidRPr="00F24C18">
        <w:rPr>
          <w:sz w:val="24"/>
        </w:rPr>
        <w:t>(</w:t>
      </w:r>
      <w:r>
        <w:rPr>
          <w:sz w:val="24"/>
        </w:rPr>
        <w:t>oleic acid</w:t>
      </w:r>
      <w:r w:rsidRPr="00F24C18">
        <w:rPr>
          <w:sz w:val="24"/>
        </w:rPr>
        <w:t>)</w:t>
      </w:r>
      <w:r>
        <w:rPr>
          <w:sz w:val="24"/>
        </w:rPr>
        <w:t xml:space="preserve"> and </w:t>
      </w:r>
      <w:r w:rsidRPr="00E36B7A">
        <w:rPr>
          <w:i/>
          <w:sz w:val="24"/>
        </w:rPr>
        <w:t>m/z</w:t>
      </w:r>
      <w:r>
        <w:rPr>
          <w:sz w:val="24"/>
        </w:rPr>
        <w:t xml:space="preserve"> 563.5 </w:t>
      </w:r>
      <w:r w:rsidRPr="00656629">
        <w:rPr>
          <w:sz w:val="24"/>
        </w:rPr>
        <w:t xml:space="preserve">(oleic acid </w:t>
      </w:r>
      <w:proofErr w:type="spellStart"/>
      <w:r w:rsidRPr="00656629">
        <w:rPr>
          <w:sz w:val="24"/>
        </w:rPr>
        <w:t>dimer</w:t>
      </w:r>
      <w:proofErr w:type="spellEnd"/>
      <w:r w:rsidRPr="00656629">
        <w:rPr>
          <w:sz w:val="24"/>
        </w:rPr>
        <w:t>)</w:t>
      </w:r>
      <w:r>
        <w:rPr>
          <w:sz w:val="24"/>
        </w:rPr>
        <w:t xml:space="preserve">were the principal </w:t>
      </w:r>
      <w:r w:rsidRPr="0037492E">
        <w:rPr>
          <w:i/>
          <w:sz w:val="24"/>
        </w:rPr>
        <w:t>m/z</w:t>
      </w:r>
      <w:r>
        <w:rPr>
          <w:sz w:val="24"/>
        </w:rPr>
        <w:t xml:space="preserve"> values substantially contributed to separation between </w:t>
      </w:r>
      <w:proofErr w:type="spellStart"/>
      <w:r>
        <w:rPr>
          <w:sz w:val="24"/>
        </w:rPr>
        <w:t>InvUC</w:t>
      </w:r>
      <w:proofErr w:type="spellEnd"/>
      <w:r>
        <w:rPr>
          <w:sz w:val="24"/>
        </w:rPr>
        <w:t xml:space="preserve"> and normal, only </w:t>
      </w:r>
      <w:r>
        <w:rPr>
          <w:sz w:val="24"/>
        </w:rPr>
        <w:lastRenderedPageBreak/>
        <w:t xml:space="preserve">ranges including those peaks were used providing the results shown in Fig. 2 in the main body of the paper. For convenience, this same figure (Fig. 2, body of the paper) is also included as Supplemental Fig. </w:t>
      </w:r>
      <w:proofErr w:type="gramStart"/>
      <w:r>
        <w:rPr>
          <w:sz w:val="24"/>
        </w:rPr>
        <w:t>S3 along with an expanded loading plot.</w:t>
      </w:r>
      <w:proofErr w:type="gramEnd"/>
      <w:r>
        <w:rPr>
          <w:sz w:val="24"/>
        </w:rPr>
        <w:t xml:space="preserve"> </w:t>
      </w:r>
    </w:p>
    <w:p w:rsidR="007F7191" w:rsidRDefault="007F7191" w:rsidP="007F7191">
      <w:pPr>
        <w:tabs>
          <w:tab w:val="left" w:pos="1125"/>
        </w:tabs>
        <w:spacing w:before="120" w:after="120" w:line="480" w:lineRule="auto"/>
        <w:ind w:firstLine="720"/>
        <w:rPr>
          <w:sz w:val="24"/>
        </w:rPr>
      </w:pPr>
    </w:p>
    <w:p w:rsidR="007F7191" w:rsidRDefault="007F7191" w:rsidP="007F7191">
      <w:pPr>
        <w:tabs>
          <w:tab w:val="left" w:pos="1125"/>
        </w:tabs>
        <w:spacing w:before="120" w:after="120" w:line="480" w:lineRule="auto"/>
        <w:ind w:firstLine="720"/>
        <w:jc w:val="both"/>
        <w:rPr>
          <w:sz w:val="24"/>
        </w:rPr>
      </w:pPr>
    </w:p>
    <w:p w:rsidR="007F7191" w:rsidRDefault="007F7191" w:rsidP="007F7191">
      <w:pPr>
        <w:spacing w:before="120" w:after="0" w:line="480" w:lineRule="auto"/>
        <w:jc w:val="both"/>
        <w:rPr>
          <w:sz w:val="24"/>
        </w:rPr>
      </w:pPr>
      <w:r>
        <w:rPr>
          <w:noProof/>
          <w:sz w:val="24"/>
        </w:rPr>
        <w:pict>
          <v:shapetype id="_x0000_t202" coordsize="21600,21600" o:spt="202" path="m,l,21600r21600,l21600,xe">
            <v:stroke joinstyle="miter"/>
            <v:path gradientshapeok="t" o:connecttype="rect"/>
          </v:shapetype>
          <v:shape id="Text Box 2" o:spid="_x0000_s1030" type="#_x0000_t202" style="position:absolute;left:0;text-align:left;margin-left:219pt;margin-top:.55pt;width:35.25pt;height:20.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" stroked="f">
            <v:textbox>
              <w:txbxContent>
                <w:p w:rsidR="007F7191" w:rsidRPr="00443827" w:rsidRDefault="007F7191" w:rsidP="007F7191">
                  <w:pPr>
                    <w:rPr>
                      <w:b/>
                    </w:rPr>
                  </w:pPr>
                  <w:r>
                    <w:rPr>
                      <w:b/>
                    </w:rPr>
                    <w:t>S1B</w:t>
                  </w:r>
                  <w:r w:rsidRPr="00531291">
                    <w:rPr>
                      <w:b/>
                      <w:noProof/>
                    </w:rPr>
                    <w:drawing>
                      <wp:inline distT="0" distB="0" distL="0" distR="0">
                        <wp:extent cx="17780" cy="21821"/>
                        <wp:effectExtent l="0" t="0" r="0" b="0"/>
                        <wp:docPr id="13625" name="Picture 1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80" cy="21821"/>
                                </a:xfrm>
                                <a:prstGeom prst="rect">
                                  <a:avLst/>
                                </a:prstGeom>
                                <a:noFill/>
                                <a:ln>
                                  <a:noFill/>
                                </a:ln>
                              </pic:spPr>
                            </pic:pic>
                          </a:graphicData>
                        </a:graphic>
                      </wp:inline>
                    </w:drawing>
                  </w:r>
                </w:p>
              </w:txbxContent>
            </v:textbox>
            <w10:wrap anchorx="margin"/>
          </v:shape>
        </w:pict>
      </w:r>
      <w:r>
        <w:rPr>
          <w:noProof/>
          <w:sz w:val="24"/>
        </w:rPr>
        <w:pict>
          <v:shape id="_x0000_s1031" type="#_x0000_t202" style="position:absolute;left:0;text-align:left;margin-left:-3.5pt;margin-top:.7pt;width:43.5pt;height:20.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" stroked="f">
            <v:textbox>
              <w:txbxContent>
                <w:p w:rsidR="007F7191" w:rsidRPr="00443827" w:rsidRDefault="007F7191" w:rsidP="007F7191">
                  <w:pPr>
                    <w:rPr>
                      <w:b/>
                    </w:rPr>
                  </w:pPr>
                  <w:r>
                    <w:rPr>
                      <w:b/>
                    </w:rPr>
                    <w:t>S1A</w:t>
                  </w:r>
                  <w:r w:rsidRPr="00531291">
                    <w:rPr>
                      <w:b/>
                      <w:noProof/>
                    </w:rPr>
                    <w:drawing>
                      <wp:inline distT="0" distB="0" distL="0" distR="0">
                        <wp:extent cx="17780" cy="21821"/>
                        <wp:effectExtent l="0" t="0" r="0" b="0"/>
                        <wp:docPr id="13626" name="Picture 1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80" cy="21821"/>
                                </a:xfrm>
                                <a:prstGeom prst="rect">
                                  <a:avLst/>
                                </a:prstGeom>
                                <a:noFill/>
                                <a:ln>
                                  <a:noFill/>
                                </a:ln>
                              </pic:spPr>
                            </pic:pic>
                          </a:graphicData>
                        </a:graphic>
                      </wp:inline>
                    </w:drawing>
                  </w:r>
                </w:p>
              </w:txbxContent>
            </v:textbox>
            <w10:wrap anchorx="margin"/>
          </v:shape>
        </w:pict>
      </w:r>
      <w:r>
        <w:rPr>
          <w:noProof/>
          <w:sz w:val="24"/>
        </w:rPr>
        <w:drawing>
          <wp:inline distT="0" distB="0" distL="0" distR="0">
            <wp:extent cx="2832100" cy="2124075"/>
            <wp:effectExtent l="0" t="0" r="6350" b="9525"/>
            <wp:docPr id="13635" name="Picture 1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8" name="Draft Dog_Bladder_manuscript_for_Bladder Cancer Journal July 10 2017 Figure S15.tif"/>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32567" cy="2124425"/>
                    </a:xfrm>
                    <a:prstGeom prst="rect">
                      <a:avLst/>
                    </a:prstGeom>
                  </pic:spPr>
                </pic:pic>
              </a:graphicData>
            </a:graphic>
          </wp:inline>
        </w:drawing>
      </w:r>
      <w:r>
        <w:rPr>
          <w:noProof/>
          <w:sz w:val="24"/>
        </w:rPr>
        <w:drawing>
          <wp:inline distT="0" distB="0" distL="0" distR="0">
            <wp:extent cx="2832100" cy="2124075"/>
            <wp:effectExtent l="0" t="0" r="6350" b="9525"/>
            <wp:docPr id="13636" name="Picture 1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9" name="Draft Dog_Bladder_manuscript_for_Bladder Cancer Journal July 10 2017 Figure S16.tif"/>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2731" cy="2132048"/>
                    </a:xfrm>
                    <a:prstGeom prst="rect">
                      <a:avLst/>
                    </a:prstGeom>
                  </pic:spPr>
                </pic:pic>
              </a:graphicData>
            </a:graphic>
          </wp:inline>
        </w:drawing>
      </w:r>
    </w:p>
    <w:p w:rsidR="007F7191" w:rsidRPr="000541E8" w:rsidRDefault="007F7191" w:rsidP="007F7191">
      <w:pPr>
        <w:pStyle w:val="Caption"/>
        <w:spacing w:line="480" w:lineRule="auto"/>
        <w:rPr>
          <w:i w:val="0"/>
          <w:color w:val="auto"/>
          <w:sz w:val="24"/>
          <w:szCs w:val="24"/>
        </w:rPr>
      </w:pPr>
      <w:proofErr w:type="gramStart"/>
      <w:r w:rsidRPr="000541E8">
        <w:rPr>
          <w:i w:val="0"/>
          <w:color w:val="auto"/>
          <w:sz w:val="24"/>
          <w:szCs w:val="24"/>
        </w:rPr>
        <w:t>Supplemental Fig.</w:t>
      </w:r>
      <w:proofErr w:type="gramEnd"/>
      <w:r w:rsidRPr="000541E8">
        <w:rPr>
          <w:i w:val="0"/>
          <w:color w:val="auto"/>
          <w:sz w:val="24"/>
          <w:szCs w:val="24"/>
        </w:rPr>
        <w:t xml:space="preserve"> S1.</w:t>
      </w:r>
      <w:r>
        <w:rPr>
          <w:i w:val="0"/>
          <w:color w:val="auto"/>
          <w:sz w:val="24"/>
          <w:szCs w:val="24"/>
        </w:rPr>
        <w:t xml:space="preserve">In A, the </w:t>
      </w:r>
      <w:r w:rsidRPr="000541E8">
        <w:rPr>
          <w:i w:val="0"/>
          <w:color w:val="auto"/>
          <w:sz w:val="24"/>
          <w:szCs w:val="24"/>
        </w:rPr>
        <w:t xml:space="preserve">PCA score plot (PC1 vs. PC5) displays little separation of </w:t>
      </w:r>
      <w:proofErr w:type="spellStart"/>
      <w:r w:rsidRPr="000541E8">
        <w:rPr>
          <w:i w:val="0"/>
          <w:color w:val="auto"/>
          <w:sz w:val="24"/>
          <w:szCs w:val="24"/>
        </w:rPr>
        <w:t>InvUC</w:t>
      </w:r>
      <w:proofErr w:type="spellEnd"/>
      <w:r w:rsidRPr="000541E8">
        <w:rPr>
          <w:i w:val="0"/>
          <w:color w:val="auto"/>
          <w:sz w:val="24"/>
          <w:szCs w:val="24"/>
        </w:rPr>
        <w:t xml:space="preserve"> from normal </w:t>
      </w:r>
      <w:proofErr w:type="spellStart"/>
      <w:r>
        <w:rPr>
          <w:i w:val="0"/>
          <w:color w:val="auto"/>
          <w:sz w:val="24"/>
          <w:szCs w:val="24"/>
        </w:rPr>
        <w:t>urothelial</w:t>
      </w:r>
      <w:proofErr w:type="spellEnd"/>
      <w:r w:rsidRPr="000541E8">
        <w:rPr>
          <w:i w:val="0"/>
          <w:color w:val="auto"/>
          <w:sz w:val="24"/>
          <w:szCs w:val="24"/>
        </w:rPr>
        <w:t xml:space="preserve"> tissue using </w:t>
      </w:r>
      <w:r w:rsidRPr="000541E8">
        <w:rPr>
          <w:color w:val="auto"/>
          <w:sz w:val="24"/>
          <w:szCs w:val="24"/>
        </w:rPr>
        <w:t>m/z</w:t>
      </w:r>
      <w:r w:rsidRPr="000541E8">
        <w:rPr>
          <w:i w:val="0"/>
          <w:color w:val="auto"/>
          <w:sz w:val="24"/>
          <w:szCs w:val="24"/>
        </w:rPr>
        <w:t xml:space="preserve"> range 200 – 1000 acquired by TS-MS negative mode. Normal </w:t>
      </w:r>
      <w:proofErr w:type="spellStart"/>
      <w:r w:rsidRPr="000541E8">
        <w:rPr>
          <w:i w:val="0"/>
          <w:color w:val="auto"/>
          <w:sz w:val="24"/>
          <w:szCs w:val="24"/>
        </w:rPr>
        <w:t>urothelial</w:t>
      </w:r>
      <w:proofErr w:type="spellEnd"/>
      <w:r w:rsidRPr="000541E8">
        <w:rPr>
          <w:i w:val="0"/>
          <w:color w:val="auto"/>
          <w:sz w:val="24"/>
          <w:szCs w:val="24"/>
        </w:rPr>
        <w:t xml:space="preserve"> mass spectra are represented by green circles; </w:t>
      </w:r>
      <w:proofErr w:type="spellStart"/>
      <w:r w:rsidRPr="000541E8">
        <w:rPr>
          <w:i w:val="0"/>
          <w:color w:val="auto"/>
          <w:sz w:val="24"/>
          <w:szCs w:val="24"/>
        </w:rPr>
        <w:t>InvUC</w:t>
      </w:r>
      <w:proofErr w:type="spellEnd"/>
      <w:r w:rsidRPr="000541E8">
        <w:rPr>
          <w:i w:val="0"/>
          <w:color w:val="auto"/>
          <w:sz w:val="24"/>
          <w:szCs w:val="24"/>
        </w:rPr>
        <w:t xml:space="preserve"> mass spectra are </w:t>
      </w:r>
      <w:r>
        <w:rPr>
          <w:i w:val="0"/>
          <w:color w:val="auto"/>
          <w:sz w:val="24"/>
          <w:szCs w:val="24"/>
        </w:rPr>
        <w:t xml:space="preserve">represented by </w:t>
      </w:r>
      <w:r w:rsidRPr="000541E8">
        <w:rPr>
          <w:i w:val="0"/>
          <w:color w:val="auto"/>
          <w:sz w:val="24"/>
          <w:szCs w:val="24"/>
        </w:rPr>
        <w:t>red triangles.</w:t>
      </w:r>
      <w:r>
        <w:rPr>
          <w:i w:val="0"/>
          <w:color w:val="auto"/>
          <w:sz w:val="24"/>
          <w:szCs w:val="24"/>
        </w:rPr>
        <w:t xml:space="preserve"> In B, the </w:t>
      </w:r>
      <w:r w:rsidRPr="000541E8">
        <w:rPr>
          <w:i w:val="0"/>
          <w:color w:val="auto"/>
          <w:sz w:val="24"/>
          <w:szCs w:val="24"/>
        </w:rPr>
        <w:t>PCA loading plot (PC1 vs. PC5) show</w:t>
      </w:r>
      <w:r>
        <w:rPr>
          <w:i w:val="0"/>
          <w:color w:val="auto"/>
          <w:sz w:val="24"/>
          <w:szCs w:val="24"/>
        </w:rPr>
        <w:t>s</w:t>
      </w:r>
      <w:r w:rsidRPr="000541E8">
        <w:rPr>
          <w:i w:val="0"/>
          <w:color w:val="auto"/>
          <w:sz w:val="24"/>
          <w:szCs w:val="24"/>
        </w:rPr>
        <w:t xml:space="preserve"> minimal differentiation based on </w:t>
      </w:r>
      <w:r w:rsidRPr="000541E8">
        <w:rPr>
          <w:color w:val="auto"/>
          <w:sz w:val="24"/>
          <w:szCs w:val="24"/>
        </w:rPr>
        <w:t>m/z</w:t>
      </w:r>
      <w:r w:rsidRPr="000541E8">
        <w:rPr>
          <w:i w:val="0"/>
          <w:color w:val="auto"/>
          <w:sz w:val="24"/>
          <w:szCs w:val="24"/>
        </w:rPr>
        <w:t xml:space="preserve"> 563 (oleic acid </w:t>
      </w:r>
      <w:proofErr w:type="spellStart"/>
      <w:r w:rsidRPr="000541E8">
        <w:rPr>
          <w:i w:val="0"/>
          <w:color w:val="auto"/>
          <w:sz w:val="24"/>
          <w:szCs w:val="24"/>
        </w:rPr>
        <w:t>dimer</w:t>
      </w:r>
      <w:proofErr w:type="spellEnd"/>
      <w:r w:rsidRPr="000541E8">
        <w:rPr>
          <w:i w:val="0"/>
          <w:color w:val="auto"/>
          <w:sz w:val="24"/>
          <w:szCs w:val="24"/>
        </w:rPr>
        <w:t xml:space="preserve">) (shown in negative PC1 and near zero PC5 coefficients) and </w:t>
      </w:r>
      <w:r w:rsidRPr="000541E8">
        <w:rPr>
          <w:color w:val="auto"/>
          <w:sz w:val="24"/>
          <w:szCs w:val="24"/>
        </w:rPr>
        <w:t>m/z</w:t>
      </w:r>
      <w:r w:rsidRPr="000541E8">
        <w:rPr>
          <w:i w:val="0"/>
          <w:color w:val="auto"/>
          <w:sz w:val="24"/>
          <w:szCs w:val="24"/>
        </w:rPr>
        <w:t xml:space="preserve"> 281.d (</w:t>
      </w:r>
      <w:r>
        <w:rPr>
          <w:i w:val="0"/>
          <w:color w:val="auto"/>
          <w:sz w:val="24"/>
          <w:szCs w:val="24"/>
        </w:rPr>
        <w:t>oleic acid</w:t>
      </w:r>
      <w:r w:rsidRPr="000541E8">
        <w:rPr>
          <w:i w:val="0"/>
          <w:color w:val="auto"/>
          <w:sz w:val="24"/>
          <w:szCs w:val="24"/>
        </w:rPr>
        <w:t>) (shown in negative PC1 and positive PC5 coefficients)</w:t>
      </w:r>
      <w:r>
        <w:rPr>
          <w:i w:val="0"/>
          <w:color w:val="auto"/>
          <w:sz w:val="24"/>
          <w:szCs w:val="24"/>
        </w:rPr>
        <w:t xml:space="preserve"> when data from the entire range (</w:t>
      </w:r>
      <w:r w:rsidRPr="000541E8">
        <w:rPr>
          <w:color w:val="auto"/>
          <w:sz w:val="24"/>
          <w:szCs w:val="24"/>
        </w:rPr>
        <w:t>m/z 200 – 1000</w:t>
      </w:r>
      <w:r>
        <w:rPr>
          <w:i w:val="0"/>
          <w:color w:val="auto"/>
          <w:sz w:val="24"/>
          <w:szCs w:val="24"/>
        </w:rPr>
        <w:t>) were included</w:t>
      </w:r>
      <w:r w:rsidRPr="000541E8">
        <w:rPr>
          <w:i w:val="0"/>
          <w:color w:val="auto"/>
          <w:sz w:val="24"/>
          <w:szCs w:val="24"/>
        </w:rPr>
        <w:t xml:space="preserve">.  Please note that </w:t>
      </w:r>
      <w:r w:rsidRPr="000541E8">
        <w:rPr>
          <w:color w:val="auto"/>
          <w:sz w:val="24"/>
          <w:szCs w:val="24"/>
        </w:rPr>
        <w:t>m/z</w:t>
      </w:r>
      <w:r w:rsidRPr="000541E8">
        <w:rPr>
          <w:i w:val="0"/>
          <w:color w:val="auto"/>
          <w:sz w:val="24"/>
          <w:szCs w:val="24"/>
        </w:rPr>
        <w:t xml:space="preserve"> 311, 325, and 339 (positive PC1 and negative PC5 coefficients) are background peaks.</w:t>
      </w:r>
    </w:p>
    <w:p w:rsidR="007F7191" w:rsidRDefault="007F7191" w:rsidP="007F7191">
      <w:pPr>
        <w:tabs>
          <w:tab w:val="left" w:pos="1125"/>
        </w:tabs>
        <w:spacing w:before="120" w:after="120" w:line="480" w:lineRule="auto"/>
        <w:ind w:firstLine="720"/>
        <w:jc w:val="both"/>
        <w:rPr>
          <w:sz w:val="24"/>
        </w:rPr>
      </w:pPr>
      <w:r>
        <w:rPr>
          <w:noProof/>
          <w:sz w:val="24"/>
        </w:rPr>
        <w:pict>
          <v:shape id="_x0000_s1028" type="#_x0000_t202" style="position:absolute;left:0;text-align:left;margin-left:238pt;margin-top:250pt;width:40.5pt;height:20.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" stroked="f">
            <v:textbox>
              <w:txbxContent>
                <w:p w:rsidR="007F7191" w:rsidRPr="00443827" w:rsidRDefault="007F7191" w:rsidP="007F7191">
                  <w:pPr>
                    <w:rPr>
                      <w:b/>
                    </w:rPr>
                  </w:pPr>
                  <w:r>
                    <w:rPr>
                      <w:b/>
                    </w:rPr>
                    <w:t>S2BB18</w:t>
                  </w:r>
                  <w:r w:rsidRPr="00531291">
                    <w:rPr>
                      <w:b/>
                      <w:noProof/>
                    </w:rPr>
                    <w:drawing>
                      <wp:inline distT="0" distB="0" distL="0" distR="0">
                        <wp:extent cx="17780" cy="21821"/>
                        <wp:effectExtent l="0" t="0" r="0" b="0"/>
                        <wp:docPr id="13627" name="Picture 1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80" cy="21821"/>
                                </a:xfrm>
                                <a:prstGeom prst="rect">
                                  <a:avLst/>
                                </a:prstGeom>
                                <a:noFill/>
                                <a:ln>
                                  <a:noFill/>
                                </a:ln>
                              </pic:spPr>
                            </pic:pic>
                          </a:graphicData>
                        </a:graphic>
                      </wp:inline>
                    </w:drawing>
                  </w:r>
                </w:p>
              </w:txbxContent>
            </v:textbox>
            <w10:wrap anchorx="margin"/>
          </v:shape>
        </w:pict>
      </w:r>
      <w:r>
        <w:rPr>
          <w:noProof/>
          <w:sz w:val="24"/>
        </w:rPr>
        <w:pict>
          <v:shape id="_x0000_s1026" type="#_x0000_t202" style="position:absolute;left:0;text-align:left;margin-left:13.25pt;margin-top:248.2pt;width:35.25pt;height:20.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" stroked="f">
            <v:textbox>
              <w:txbxContent>
                <w:p w:rsidR="007F7191" w:rsidRPr="00443827" w:rsidRDefault="007F7191" w:rsidP="007F7191">
                  <w:pPr>
                    <w:rPr>
                      <w:b/>
                    </w:rPr>
                  </w:pPr>
                  <w:r>
                    <w:rPr>
                      <w:b/>
                    </w:rPr>
                    <w:t>S2A7</w:t>
                  </w:r>
                  <w:r w:rsidRPr="005B7A22">
                    <w:rPr>
                      <w:b/>
                      <w:noProof/>
                    </w:rPr>
                    <w:drawing>
                      <wp:inline distT="0" distB="0" distL="0" distR="0">
                        <wp:extent cx="17780" cy="21821"/>
                        <wp:effectExtent l="0" t="0" r="0" b="0"/>
                        <wp:docPr id="13628" name="Picture 1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80" cy="21821"/>
                                </a:xfrm>
                                <a:prstGeom prst="rect">
                                  <a:avLst/>
                                </a:prstGeom>
                                <a:noFill/>
                                <a:ln>
                                  <a:noFill/>
                                </a:ln>
                              </pic:spPr>
                            </pic:pic>
                          </a:graphicData>
                        </a:graphic>
                      </wp:inline>
                    </w:drawing>
                  </w:r>
                  <w:r w:rsidRPr="00531291">
                    <w:rPr>
                      <w:b/>
                      <w:noProof/>
                    </w:rPr>
                    <w:drawing>
                      <wp:inline distT="0" distB="0" distL="0" distR="0">
                        <wp:extent cx="17780" cy="21821"/>
                        <wp:effectExtent l="0" t="0" r="0" b="0"/>
                        <wp:docPr id="13629" name="Picture 1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80" cy="21821"/>
                                </a:xfrm>
                                <a:prstGeom prst="rect">
                                  <a:avLst/>
                                </a:prstGeom>
                                <a:noFill/>
                                <a:ln>
                                  <a:noFill/>
                                </a:ln>
                              </pic:spPr>
                            </pic:pic>
                          </a:graphicData>
                        </a:graphic>
                      </wp:inline>
                    </w:drawing>
                  </w:r>
                </w:p>
              </w:txbxContent>
            </v:textbox>
            <w10:wrap anchorx="margin"/>
          </v:shape>
        </w:pict>
      </w:r>
    </w:p>
    <w:p w:rsidR="007F7191" w:rsidRDefault="007F7191" w:rsidP="007F7191">
      <w:pPr>
        <w:tabs>
          <w:tab w:val="left" w:pos="1125"/>
        </w:tabs>
        <w:spacing w:before="120" w:after="120" w:line="480" w:lineRule="auto"/>
        <w:ind w:firstLine="720"/>
        <w:jc w:val="both"/>
        <w:rPr>
          <w:sz w:val="24"/>
        </w:rPr>
      </w:pPr>
    </w:p>
    <w:p w:rsidR="007F7191" w:rsidRDefault="007F7191" w:rsidP="007F7191">
      <w:pPr>
        <w:tabs>
          <w:tab w:val="left" w:pos="1125"/>
        </w:tabs>
        <w:spacing w:before="120" w:after="120" w:line="480" w:lineRule="auto"/>
        <w:ind w:firstLine="720"/>
        <w:jc w:val="both"/>
        <w:rPr>
          <w:noProof/>
        </w:rPr>
      </w:pPr>
      <w:r w:rsidRPr="00822086">
        <w:rPr>
          <w:b/>
          <w:sz w:val="24"/>
        </w:rPr>
        <w:lastRenderedPageBreak/>
        <w:t>S2A</w:t>
      </w:r>
      <w:r>
        <w:rPr>
          <w:b/>
          <w:sz w:val="24"/>
        </w:rPr>
        <w:tab/>
      </w:r>
      <w:r>
        <w:rPr>
          <w:b/>
          <w:sz w:val="24"/>
        </w:rPr>
        <w:tab/>
      </w:r>
      <w:r>
        <w:rPr>
          <w:b/>
          <w:sz w:val="24"/>
        </w:rPr>
        <w:tab/>
      </w:r>
      <w:r>
        <w:rPr>
          <w:b/>
          <w:sz w:val="24"/>
        </w:rPr>
        <w:tab/>
      </w:r>
      <w:r>
        <w:rPr>
          <w:b/>
          <w:sz w:val="24"/>
        </w:rPr>
        <w:tab/>
      </w:r>
      <w:r>
        <w:rPr>
          <w:b/>
          <w:sz w:val="24"/>
        </w:rPr>
        <w:tab/>
        <w:t>S2B</w:t>
      </w:r>
      <w:r>
        <w:rPr>
          <w:noProof/>
          <w:sz w:val="24"/>
        </w:rPr>
        <w:drawing>
          <wp:inline distT="0" distB="0" distL="0" distR="0">
            <wp:extent cx="2781300" cy="2085975"/>
            <wp:effectExtent l="0" t="0" r="0" b="9525"/>
            <wp:docPr id="13637" name="Picture 1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 name="Draft Dog_Bladder_manuscript_for_Bladder Cancer Journal July 10 2017 Figure S17.tif"/>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84300" cy="2088225"/>
                    </a:xfrm>
                    <a:prstGeom prst="rect">
                      <a:avLst/>
                    </a:prstGeom>
                  </pic:spPr>
                </pic:pic>
              </a:graphicData>
            </a:graphic>
          </wp:inline>
        </w:drawing>
      </w:r>
      <w:r>
        <w:rPr>
          <w:noProof/>
        </w:rPr>
        <w:drawing>
          <wp:inline distT="0" distB="0" distL="0" distR="0">
            <wp:extent cx="2786267" cy="2085975"/>
            <wp:effectExtent l="0" t="0" r="0" b="0"/>
            <wp:docPr id="13638" name="Picture 1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3" name="Draft Dog_Bladder_manuscript_for_Bladder Cancer Journal July 10 2017 Figure S18.tif"/>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01297" cy="2097227"/>
                    </a:xfrm>
                    <a:prstGeom prst="rect">
                      <a:avLst/>
                    </a:prstGeom>
                  </pic:spPr>
                </pic:pic>
              </a:graphicData>
            </a:graphic>
          </wp:inline>
        </w:drawing>
      </w:r>
    </w:p>
    <w:p w:rsidR="007F7191" w:rsidRDefault="007F7191" w:rsidP="007F7191">
      <w:pPr>
        <w:pStyle w:val="Caption"/>
        <w:keepNext/>
        <w:spacing w:line="480" w:lineRule="auto"/>
        <w:rPr>
          <w:i w:val="0"/>
          <w:color w:val="auto"/>
          <w:sz w:val="24"/>
          <w:szCs w:val="24"/>
        </w:rPr>
      </w:pPr>
      <w:proofErr w:type="gramStart"/>
      <w:r w:rsidRPr="00007917">
        <w:rPr>
          <w:i w:val="0"/>
          <w:color w:val="auto"/>
          <w:sz w:val="24"/>
          <w:szCs w:val="24"/>
        </w:rPr>
        <w:t>Supplemental Fig.</w:t>
      </w:r>
      <w:proofErr w:type="gramEnd"/>
      <w:r w:rsidRPr="00007917">
        <w:rPr>
          <w:i w:val="0"/>
          <w:color w:val="auto"/>
          <w:sz w:val="24"/>
          <w:szCs w:val="24"/>
        </w:rPr>
        <w:t xml:space="preserve"> S2.A. PCA</w:t>
      </w:r>
      <w:r w:rsidRPr="003E11DC">
        <w:rPr>
          <w:i w:val="0"/>
          <w:color w:val="auto"/>
          <w:sz w:val="24"/>
          <w:szCs w:val="24"/>
        </w:rPr>
        <w:t xml:space="preserve"> score plot (PC1 vs. PC4) displays substantial separation of </w:t>
      </w:r>
      <w:proofErr w:type="spellStart"/>
      <w:r w:rsidRPr="003E11DC">
        <w:rPr>
          <w:i w:val="0"/>
          <w:color w:val="auto"/>
          <w:sz w:val="24"/>
          <w:szCs w:val="24"/>
        </w:rPr>
        <w:t>InvUC</w:t>
      </w:r>
      <w:proofErr w:type="spellEnd"/>
      <w:r>
        <w:rPr>
          <w:i w:val="0"/>
          <w:color w:val="auto"/>
          <w:sz w:val="24"/>
          <w:szCs w:val="24"/>
        </w:rPr>
        <w:t xml:space="preserve"> from normal </w:t>
      </w:r>
      <w:proofErr w:type="spellStart"/>
      <w:r>
        <w:rPr>
          <w:i w:val="0"/>
          <w:color w:val="auto"/>
          <w:sz w:val="24"/>
          <w:szCs w:val="24"/>
        </w:rPr>
        <w:t>uro</w:t>
      </w:r>
      <w:r w:rsidRPr="003E11DC">
        <w:rPr>
          <w:i w:val="0"/>
          <w:color w:val="auto"/>
          <w:sz w:val="24"/>
          <w:szCs w:val="24"/>
        </w:rPr>
        <w:t>thelial</w:t>
      </w:r>
      <w:proofErr w:type="spellEnd"/>
      <w:r w:rsidRPr="003E11DC">
        <w:rPr>
          <w:i w:val="0"/>
          <w:color w:val="auto"/>
          <w:sz w:val="24"/>
          <w:szCs w:val="24"/>
        </w:rPr>
        <w:t xml:space="preserve"> tissue using selected peaks from TS-MS negative mode </w:t>
      </w:r>
      <w:r w:rsidRPr="003E11DC">
        <w:rPr>
          <w:color w:val="auto"/>
          <w:sz w:val="24"/>
          <w:szCs w:val="24"/>
        </w:rPr>
        <w:t>m</w:t>
      </w:r>
      <w:r w:rsidRPr="00E367E3">
        <w:rPr>
          <w:color w:val="auto"/>
          <w:sz w:val="24"/>
          <w:szCs w:val="24"/>
        </w:rPr>
        <w:t>/z</w:t>
      </w:r>
      <w:r w:rsidRPr="00E367E3">
        <w:rPr>
          <w:i w:val="0"/>
          <w:color w:val="auto"/>
          <w:sz w:val="24"/>
          <w:szCs w:val="24"/>
        </w:rPr>
        <w:t xml:space="preserve"> range 252 – 888</w:t>
      </w:r>
      <w:r w:rsidRPr="00E367E3">
        <w:rPr>
          <w:rStyle w:val="FootnoteReference"/>
          <w:i w:val="0"/>
          <w:color w:val="auto"/>
          <w:sz w:val="24"/>
          <w:szCs w:val="24"/>
        </w:rPr>
        <w:footnoteReference w:id="4"/>
      </w:r>
      <w:r w:rsidRPr="00E367E3">
        <w:rPr>
          <w:i w:val="0"/>
          <w:color w:val="auto"/>
          <w:sz w:val="24"/>
          <w:szCs w:val="24"/>
        </w:rPr>
        <w:t xml:space="preserve">. Normal </w:t>
      </w:r>
      <w:proofErr w:type="spellStart"/>
      <w:r w:rsidRPr="00E367E3">
        <w:rPr>
          <w:i w:val="0"/>
          <w:color w:val="auto"/>
          <w:sz w:val="24"/>
          <w:szCs w:val="24"/>
        </w:rPr>
        <w:t>urothelial</w:t>
      </w:r>
      <w:proofErr w:type="spellEnd"/>
      <w:r w:rsidRPr="00E367E3">
        <w:rPr>
          <w:i w:val="0"/>
          <w:color w:val="auto"/>
          <w:sz w:val="24"/>
          <w:szCs w:val="24"/>
        </w:rPr>
        <w:t xml:space="preserve"> mass spectra are represented by green circles; </w:t>
      </w:r>
      <w:proofErr w:type="spellStart"/>
      <w:r w:rsidRPr="00E367E3">
        <w:rPr>
          <w:i w:val="0"/>
          <w:color w:val="auto"/>
          <w:sz w:val="24"/>
          <w:szCs w:val="24"/>
        </w:rPr>
        <w:t>InvUC</w:t>
      </w:r>
      <w:proofErr w:type="spellEnd"/>
      <w:r w:rsidRPr="00E367E3">
        <w:rPr>
          <w:i w:val="0"/>
          <w:color w:val="auto"/>
          <w:sz w:val="24"/>
          <w:szCs w:val="24"/>
        </w:rPr>
        <w:t xml:space="preserve"> mass</w:t>
      </w:r>
      <w:r w:rsidRPr="003E11DC">
        <w:rPr>
          <w:i w:val="0"/>
          <w:color w:val="auto"/>
          <w:sz w:val="24"/>
          <w:szCs w:val="24"/>
        </w:rPr>
        <w:t xml:space="preserve"> spectra are </w:t>
      </w:r>
      <w:r>
        <w:rPr>
          <w:i w:val="0"/>
          <w:color w:val="auto"/>
          <w:sz w:val="24"/>
          <w:szCs w:val="24"/>
        </w:rPr>
        <w:t xml:space="preserve">represented by </w:t>
      </w:r>
      <w:r w:rsidRPr="003E11DC">
        <w:rPr>
          <w:i w:val="0"/>
          <w:color w:val="auto"/>
          <w:sz w:val="24"/>
          <w:szCs w:val="24"/>
        </w:rPr>
        <w:t xml:space="preserve">red triangles. </w:t>
      </w:r>
      <w:r>
        <w:rPr>
          <w:i w:val="0"/>
          <w:color w:val="auto"/>
          <w:sz w:val="24"/>
          <w:szCs w:val="24"/>
        </w:rPr>
        <w:t xml:space="preserve">In B, the </w:t>
      </w:r>
      <w:r w:rsidRPr="003E11DC">
        <w:rPr>
          <w:i w:val="0"/>
          <w:color w:val="auto"/>
          <w:sz w:val="24"/>
          <w:szCs w:val="24"/>
        </w:rPr>
        <w:t>PCA loading plot (PC1 vs. PC4) show</w:t>
      </w:r>
      <w:r>
        <w:rPr>
          <w:i w:val="0"/>
          <w:color w:val="auto"/>
          <w:sz w:val="24"/>
          <w:szCs w:val="24"/>
        </w:rPr>
        <w:t>s</w:t>
      </w:r>
      <w:r w:rsidRPr="003E11DC">
        <w:rPr>
          <w:i w:val="0"/>
          <w:color w:val="auto"/>
          <w:sz w:val="24"/>
          <w:szCs w:val="24"/>
        </w:rPr>
        <w:t xml:space="preserve"> substantial differentiation based on </w:t>
      </w:r>
      <w:r w:rsidRPr="003E11DC">
        <w:rPr>
          <w:color w:val="auto"/>
          <w:sz w:val="24"/>
          <w:szCs w:val="24"/>
        </w:rPr>
        <w:t>m/z</w:t>
      </w:r>
      <w:r w:rsidRPr="003E11DC">
        <w:rPr>
          <w:i w:val="0"/>
          <w:color w:val="auto"/>
          <w:sz w:val="24"/>
          <w:szCs w:val="24"/>
        </w:rPr>
        <w:t xml:space="preserve"> 563 (oleic acid </w:t>
      </w:r>
      <w:proofErr w:type="spellStart"/>
      <w:r w:rsidRPr="003E11DC">
        <w:rPr>
          <w:i w:val="0"/>
          <w:color w:val="auto"/>
          <w:sz w:val="24"/>
          <w:szCs w:val="24"/>
        </w:rPr>
        <w:t>dimer</w:t>
      </w:r>
      <w:proofErr w:type="spellEnd"/>
      <w:r w:rsidRPr="003E11DC">
        <w:rPr>
          <w:i w:val="0"/>
          <w:color w:val="auto"/>
          <w:sz w:val="24"/>
          <w:szCs w:val="24"/>
        </w:rPr>
        <w:t xml:space="preserve">) (shown in negative PC1 and PC4 coefficients) and </w:t>
      </w:r>
      <w:r w:rsidRPr="003E11DC">
        <w:rPr>
          <w:color w:val="auto"/>
          <w:sz w:val="24"/>
          <w:szCs w:val="24"/>
        </w:rPr>
        <w:t>m/z</w:t>
      </w:r>
      <w:r w:rsidRPr="003E11DC">
        <w:rPr>
          <w:i w:val="0"/>
          <w:color w:val="auto"/>
          <w:sz w:val="24"/>
          <w:szCs w:val="24"/>
        </w:rPr>
        <w:t xml:space="preserve"> 281 (</w:t>
      </w:r>
      <w:r>
        <w:rPr>
          <w:i w:val="0"/>
          <w:color w:val="auto"/>
          <w:sz w:val="24"/>
          <w:szCs w:val="24"/>
        </w:rPr>
        <w:t>oleic acid)</w:t>
      </w:r>
      <w:r w:rsidRPr="003E11DC">
        <w:rPr>
          <w:i w:val="0"/>
          <w:color w:val="auto"/>
          <w:sz w:val="24"/>
          <w:szCs w:val="24"/>
        </w:rPr>
        <w:t xml:space="preserve"> (shown near zero PC1 coefficients and positive PC2 coefficients).  </w:t>
      </w:r>
    </w:p>
    <w:p w:rsidR="007F7191" w:rsidRDefault="007F7191" w:rsidP="007F7191"/>
    <w:p w:rsidR="007F7191" w:rsidRPr="00DA5E2F" w:rsidRDefault="007F7191" w:rsidP="007F7191"/>
    <w:p w:rsidR="007F7191" w:rsidRDefault="007F7191" w:rsidP="007F7191">
      <w:pPr>
        <w:spacing w:before="120" w:after="0" w:line="480" w:lineRule="auto"/>
        <w:jc w:val="both"/>
        <w:rPr>
          <w:sz w:val="24"/>
        </w:rPr>
      </w:pPr>
      <w:r>
        <w:rPr>
          <w:noProof/>
          <w:sz w:val="24"/>
        </w:rPr>
        <w:lastRenderedPageBreak/>
        <w:pict>
          <v:shape id="_x0000_s1029" type="#_x0000_t202" style="position:absolute;left:0;text-align:left;margin-left:215.25pt;margin-top:.5pt;width:37.5pt;height:20.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" stroked="f">
            <v:textbox>
              <w:txbxContent>
                <w:p w:rsidR="007F7191" w:rsidRPr="00443827" w:rsidRDefault="007F7191" w:rsidP="007F7191">
                  <w:pPr>
                    <w:rPr>
                      <w:b/>
                    </w:rPr>
                  </w:pPr>
                  <w:r>
                    <w:rPr>
                      <w:b/>
                    </w:rPr>
                    <w:t>S3B20</w:t>
                  </w:r>
                  <w:r w:rsidRPr="00531291">
                    <w:rPr>
                      <w:b/>
                      <w:noProof/>
                    </w:rPr>
                    <w:drawing>
                      <wp:inline distT="0" distB="0" distL="0" distR="0">
                        <wp:extent cx="17780" cy="21821"/>
                        <wp:effectExtent l="0" t="0" r="0" b="0"/>
                        <wp:docPr id="13630" name="Picture 1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80" cy="21821"/>
                                </a:xfrm>
                                <a:prstGeom prst="rect">
                                  <a:avLst/>
                                </a:prstGeom>
                                <a:noFill/>
                                <a:ln>
                                  <a:noFill/>
                                </a:ln>
                              </pic:spPr>
                            </pic:pic>
                          </a:graphicData>
                        </a:graphic>
                      </wp:inline>
                    </w:drawing>
                  </w:r>
                </w:p>
              </w:txbxContent>
            </v:textbox>
            <w10:wrap anchorx="margin"/>
          </v:shape>
        </w:pict>
      </w:r>
      <w:r>
        <w:rPr>
          <w:noProof/>
          <w:sz w:val="24"/>
        </w:rPr>
        <w:pict>
          <v:shape id="_x0000_s1027" type="#_x0000_t202" style="position:absolute;left:0;text-align:left;margin-left:0;margin-top:1.25pt;width:38.25pt;height:20.2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" stroked="f">
            <v:textbox>
              <w:txbxContent>
                <w:p w:rsidR="007F7191" w:rsidRPr="00443827" w:rsidRDefault="007F7191" w:rsidP="007F7191">
                  <w:pPr>
                    <w:rPr>
                      <w:b/>
                    </w:rPr>
                  </w:pPr>
                  <w:r>
                    <w:rPr>
                      <w:b/>
                    </w:rPr>
                    <w:t>S3A19</w:t>
                  </w:r>
                  <w:r w:rsidRPr="005B7A22">
                    <w:rPr>
                      <w:b/>
                      <w:noProof/>
                    </w:rPr>
                    <w:drawing>
                      <wp:inline distT="0" distB="0" distL="0" distR="0">
                        <wp:extent cx="17780" cy="21821"/>
                        <wp:effectExtent l="0" t="0" r="0" b="0"/>
                        <wp:docPr id="13631" name="Picture 1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80" cy="21821"/>
                                </a:xfrm>
                                <a:prstGeom prst="rect">
                                  <a:avLst/>
                                </a:prstGeom>
                                <a:noFill/>
                                <a:ln>
                                  <a:noFill/>
                                </a:ln>
                              </pic:spPr>
                            </pic:pic>
                          </a:graphicData>
                        </a:graphic>
                      </wp:inline>
                    </w:drawing>
                  </w:r>
                </w:p>
              </w:txbxContent>
            </v:textbox>
            <w10:wrap anchorx="margin"/>
          </v:shape>
        </w:pict>
      </w:r>
      <w:r>
        <w:rPr>
          <w:noProof/>
          <w:sz w:val="24"/>
        </w:rPr>
        <w:drawing>
          <wp:inline distT="0" distB="0" distL="0" distR="0">
            <wp:extent cx="3022600" cy="2266950"/>
            <wp:effectExtent l="0" t="0" r="6350" b="0"/>
            <wp:docPr id="13639" name="Picture 1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 name="Draft Dog_Bladder_manuscript_for_Bladder Cancer Journal July 10 2017 Figure S19.tif"/>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24079" cy="2268059"/>
                    </a:xfrm>
                    <a:prstGeom prst="rect">
                      <a:avLst/>
                    </a:prstGeom>
                  </pic:spPr>
                </pic:pic>
              </a:graphicData>
            </a:graphic>
          </wp:inline>
        </w:drawing>
      </w:r>
      <w:r>
        <w:rPr>
          <w:noProof/>
          <w:sz w:val="24"/>
        </w:rPr>
        <w:drawing>
          <wp:inline distT="0" distB="0" distL="0" distR="0">
            <wp:extent cx="2867025" cy="2780647"/>
            <wp:effectExtent l="0" t="0" r="0" b="1270"/>
            <wp:docPr id="13640" name="Picture 1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5" name="Draft Dog_Bladder_manuscript_for_Bladder Cancer Journal July 10 2017 Figure S20.tif"/>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90055" cy="2802983"/>
                    </a:xfrm>
                    <a:prstGeom prst="rect">
                      <a:avLst/>
                    </a:prstGeom>
                  </pic:spPr>
                </pic:pic>
              </a:graphicData>
            </a:graphic>
          </wp:inline>
        </w:drawing>
      </w:r>
    </w:p>
    <w:p w:rsidR="007F7191" w:rsidRPr="003E11DC" w:rsidRDefault="007F7191" w:rsidP="007F7191">
      <w:pPr>
        <w:pStyle w:val="Caption"/>
        <w:spacing w:line="480" w:lineRule="auto"/>
        <w:rPr>
          <w:i w:val="0"/>
          <w:color w:val="auto"/>
          <w:sz w:val="24"/>
          <w:szCs w:val="24"/>
        </w:rPr>
      </w:pPr>
      <w:proofErr w:type="gramStart"/>
      <w:r w:rsidRPr="00E367E3">
        <w:rPr>
          <w:i w:val="0"/>
          <w:color w:val="auto"/>
          <w:sz w:val="24"/>
          <w:szCs w:val="24"/>
        </w:rPr>
        <w:t>Supplemental Fig.</w:t>
      </w:r>
      <w:proofErr w:type="gramEnd"/>
      <w:r w:rsidRPr="00E367E3">
        <w:rPr>
          <w:i w:val="0"/>
          <w:color w:val="auto"/>
          <w:sz w:val="24"/>
          <w:szCs w:val="24"/>
        </w:rPr>
        <w:t xml:space="preserve"> S3.A. PCA score</w:t>
      </w:r>
      <w:r w:rsidRPr="003E11DC">
        <w:rPr>
          <w:i w:val="0"/>
          <w:color w:val="auto"/>
          <w:sz w:val="24"/>
          <w:szCs w:val="24"/>
        </w:rPr>
        <w:t xml:space="preserve"> plot (PC1 vs. PC4) displays substantial separation of </w:t>
      </w:r>
      <w:proofErr w:type="spellStart"/>
      <w:r w:rsidRPr="003E11DC">
        <w:rPr>
          <w:i w:val="0"/>
          <w:color w:val="auto"/>
          <w:sz w:val="24"/>
          <w:szCs w:val="24"/>
        </w:rPr>
        <w:t>InvUC</w:t>
      </w:r>
      <w:proofErr w:type="spellEnd"/>
      <w:r w:rsidRPr="003E11DC">
        <w:rPr>
          <w:i w:val="0"/>
          <w:color w:val="auto"/>
          <w:sz w:val="24"/>
          <w:szCs w:val="24"/>
        </w:rPr>
        <w:t xml:space="preserve"> from normal </w:t>
      </w:r>
      <w:proofErr w:type="spellStart"/>
      <w:r>
        <w:rPr>
          <w:i w:val="0"/>
          <w:color w:val="auto"/>
          <w:sz w:val="24"/>
          <w:szCs w:val="24"/>
        </w:rPr>
        <w:t>urothelial</w:t>
      </w:r>
      <w:proofErr w:type="spellEnd"/>
      <w:r>
        <w:rPr>
          <w:i w:val="0"/>
          <w:color w:val="auto"/>
          <w:sz w:val="24"/>
          <w:szCs w:val="24"/>
        </w:rPr>
        <w:t xml:space="preserve"> </w:t>
      </w:r>
      <w:r w:rsidRPr="003E11DC">
        <w:rPr>
          <w:i w:val="0"/>
          <w:color w:val="auto"/>
          <w:sz w:val="24"/>
          <w:szCs w:val="24"/>
        </w:rPr>
        <w:t xml:space="preserve">mass spectra using selected peaks from TS-MS negative mode </w:t>
      </w:r>
      <w:r w:rsidRPr="003E11DC">
        <w:rPr>
          <w:color w:val="auto"/>
          <w:sz w:val="24"/>
          <w:szCs w:val="24"/>
        </w:rPr>
        <w:t>m/z</w:t>
      </w:r>
      <w:r w:rsidRPr="003E11DC">
        <w:rPr>
          <w:i w:val="0"/>
          <w:color w:val="auto"/>
          <w:sz w:val="24"/>
          <w:szCs w:val="24"/>
        </w:rPr>
        <w:t xml:space="preserve"> range 277 – 268 and 557 - 568. Normal </w:t>
      </w:r>
      <w:proofErr w:type="spellStart"/>
      <w:r>
        <w:rPr>
          <w:i w:val="0"/>
          <w:color w:val="auto"/>
          <w:sz w:val="24"/>
          <w:szCs w:val="24"/>
        </w:rPr>
        <w:t>uroth</w:t>
      </w:r>
      <w:r w:rsidRPr="003E11DC">
        <w:rPr>
          <w:i w:val="0"/>
          <w:color w:val="auto"/>
          <w:sz w:val="24"/>
          <w:szCs w:val="24"/>
        </w:rPr>
        <w:t>elial</w:t>
      </w:r>
      <w:proofErr w:type="spellEnd"/>
      <w:r w:rsidRPr="003E11DC">
        <w:rPr>
          <w:i w:val="0"/>
          <w:color w:val="auto"/>
          <w:sz w:val="24"/>
          <w:szCs w:val="24"/>
        </w:rPr>
        <w:t xml:space="preserve"> mass spectra are </w:t>
      </w:r>
      <w:r>
        <w:rPr>
          <w:i w:val="0"/>
          <w:color w:val="auto"/>
          <w:sz w:val="24"/>
          <w:szCs w:val="24"/>
        </w:rPr>
        <w:t xml:space="preserve">represented by </w:t>
      </w:r>
      <w:r w:rsidRPr="003E11DC">
        <w:rPr>
          <w:i w:val="0"/>
          <w:color w:val="auto"/>
          <w:sz w:val="24"/>
          <w:szCs w:val="24"/>
        </w:rPr>
        <w:t xml:space="preserve">green circles; </w:t>
      </w:r>
      <w:proofErr w:type="spellStart"/>
      <w:r w:rsidRPr="003E11DC">
        <w:rPr>
          <w:i w:val="0"/>
          <w:color w:val="auto"/>
          <w:sz w:val="24"/>
          <w:szCs w:val="24"/>
        </w:rPr>
        <w:t>InvUC</w:t>
      </w:r>
      <w:proofErr w:type="spellEnd"/>
      <w:r w:rsidRPr="003E11DC">
        <w:rPr>
          <w:i w:val="0"/>
          <w:color w:val="auto"/>
          <w:sz w:val="24"/>
          <w:szCs w:val="24"/>
        </w:rPr>
        <w:t xml:space="preserve"> mass spectra are </w:t>
      </w:r>
      <w:r>
        <w:rPr>
          <w:i w:val="0"/>
          <w:color w:val="auto"/>
          <w:sz w:val="24"/>
          <w:szCs w:val="24"/>
        </w:rPr>
        <w:t xml:space="preserve">represented by </w:t>
      </w:r>
      <w:r w:rsidRPr="003E11DC">
        <w:rPr>
          <w:i w:val="0"/>
          <w:color w:val="auto"/>
          <w:sz w:val="24"/>
          <w:szCs w:val="24"/>
        </w:rPr>
        <w:t xml:space="preserve">red triangles. </w:t>
      </w:r>
      <w:r>
        <w:rPr>
          <w:i w:val="0"/>
          <w:color w:val="auto"/>
          <w:sz w:val="24"/>
          <w:szCs w:val="24"/>
        </w:rPr>
        <w:t xml:space="preserve">B. </w:t>
      </w:r>
      <w:proofErr w:type="gramStart"/>
      <w:r>
        <w:rPr>
          <w:i w:val="0"/>
          <w:color w:val="auto"/>
          <w:sz w:val="24"/>
          <w:szCs w:val="24"/>
        </w:rPr>
        <w:t>The</w:t>
      </w:r>
      <w:proofErr w:type="gramEnd"/>
      <w:r>
        <w:rPr>
          <w:i w:val="0"/>
          <w:color w:val="auto"/>
          <w:sz w:val="24"/>
          <w:szCs w:val="24"/>
        </w:rPr>
        <w:t xml:space="preserve"> </w:t>
      </w:r>
      <w:r w:rsidRPr="003E11DC">
        <w:rPr>
          <w:i w:val="0"/>
          <w:color w:val="auto"/>
          <w:sz w:val="24"/>
          <w:szCs w:val="24"/>
        </w:rPr>
        <w:t>PCA loading plot (PC1 vs. PC4) distinguishes</w:t>
      </w:r>
      <w:r>
        <w:rPr>
          <w:i w:val="0"/>
          <w:color w:val="auto"/>
          <w:sz w:val="24"/>
          <w:szCs w:val="24"/>
        </w:rPr>
        <w:t xml:space="preserve"> </w:t>
      </w:r>
      <w:proofErr w:type="spellStart"/>
      <w:r>
        <w:rPr>
          <w:i w:val="0"/>
          <w:color w:val="auto"/>
          <w:sz w:val="24"/>
          <w:szCs w:val="24"/>
        </w:rPr>
        <w:t>InvUC</w:t>
      </w:r>
      <w:proofErr w:type="spellEnd"/>
      <w:r>
        <w:rPr>
          <w:i w:val="0"/>
          <w:color w:val="auto"/>
          <w:sz w:val="24"/>
          <w:szCs w:val="24"/>
        </w:rPr>
        <w:t xml:space="preserve"> from normal </w:t>
      </w:r>
      <w:proofErr w:type="spellStart"/>
      <w:r>
        <w:rPr>
          <w:i w:val="0"/>
          <w:color w:val="auto"/>
          <w:sz w:val="24"/>
          <w:szCs w:val="24"/>
        </w:rPr>
        <w:t>urothelium</w:t>
      </w:r>
      <w:proofErr w:type="spellEnd"/>
      <w:r w:rsidRPr="003E11DC">
        <w:rPr>
          <w:i w:val="0"/>
          <w:color w:val="auto"/>
          <w:sz w:val="24"/>
          <w:szCs w:val="24"/>
        </w:rPr>
        <w:t xml:space="preserve"> based on </w:t>
      </w:r>
      <w:r w:rsidRPr="003E11DC">
        <w:rPr>
          <w:color w:val="auto"/>
          <w:sz w:val="24"/>
          <w:szCs w:val="24"/>
        </w:rPr>
        <w:t>m/z</w:t>
      </w:r>
      <w:r w:rsidRPr="003E11DC">
        <w:rPr>
          <w:i w:val="0"/>
          <w:color w:val="auto"/>
          <w:sz w:val="24"/>
          <w:szCs w:val="24"/>
        </w:rPr>
        <w:t xml:space="preserve"> 563 (oleic acid </w:t>
      </w:r>
      <w:proofErr w:type="spellStart"/>
      <w:r w:rsidRPr="003E11DC">
        <w:rPr>
          <w:i w:val="0"/>
          <w:color w:val="auto"/>
          <w:sz w:val="24"/>
          <w:szCs w:val="24"/>
        </w:rPr>
        <w:t>dimer</w:t>
      </w:r>
      <w:proofErr w:type="spellEnd"/>
      <w:r w:rsidRPr="003E11DC">
        <w:rPr>
          <w:i w:val="0"/>
          <w:color w:val="auto"/>
          <w:sz w:val="24"/>
          <w:szCs w:val="24"/>
        </w:rPr>
        <w:t xml:space="preserve">) (shown in negative PC1 and PC2 coefficients) and </w:t>
      </w:r>
      <w:r w:rsidRPr="003E11DC">
        <w:rPr>
          <w:color w:val="auto"/>
          <w:sz w:val="24"/>
          <w:szCs w:val="24"/>
        </w:rPr>
        <w:t>m/z</w:t>
      </w:r>
      <w:r w:rsidRPr="003E11DC">
        <w:rPr>
          <w:i w:val="0"/>
          <w:color w:val="auto"/>
          <w:sz w:val="24"/>
          <w:szCs w:val="24"/>
        </w:rPr>
        <w:t xml:space="preserve"> 281 (</w:t>
      </w:r>
      <w:r>
        <w:rPr>
          <w:i w:val="0"/>
          <w:color w:val="auto"/>
          <w:sz w:val="24"/>
          <w:szCs w:val="24"/>
        </w:rPr>
        <w:t>oleic acid</w:t>
      </w:r>
      <w:r w:rsidRPr="003E11DC">
        <w:rPr>
          <w:i w:val="0"/>
          <w:color w:val="auto"/>
          <w:sz w:val="24"/>
          <w:szCs w:val="24"/>
        </w:rPr>
        <w:t>) (shown positive PC1 coefficients and positive and negative PC4 coefficients).</w:t>
      </w:r>
    </w:p>
    <w:p w:rsidR="007F7191" w:rsidRDefault="007F7191" w:rsidP="007F7191">
      <w:pPr>
        <w:spacing w:line="480" w:lineRule="auto"/>
        <w:rPr>
          <w:sz w:val="24"/>
        </w:rPr>
      </w:pPr>
      <w:r>
        <w:rPr>
          <w:sz w:val="24"/>
        </w:rPr>
        <w:br w:type="page"/>
      </w:r>
    </w:p>
    <w:p w:rsidR="007F7191" w:rsidRPr="004A7B03" w:rsidRDefault="007F7191" w:rsidP="007F7191">
      <w:pPr>
        <w:pStyle w:val="Heading1"/>
        <w:spacing w:line="480" w:lineRule="auto"/>
        <w:rPr>
          <w:b w:val="0"/>
          <w:i/>
          <w:color w:val="auto"/>
          <w:sz w:val="24"/>
          <w:szCs w:val="24"/>
        </w:rPr>
      </w:pPr>
      <w:r w:rsidRPr="004A7B03">
        <w:rPr>
          <w:b w:val="0"/>
          <w:i/>
          <w:color w:val="auto"/>
          <w:sz w:val="24"/>
          <w:szCs w:val="24"/>
        </w:rPr>
        <w:lastRenderedPageBreak/>
        <w:t>TS-MS supplement</w:t>
      </w:r>
      <w:r>
        <w:rPr>
          <w:b w:val="0"/>
          <w:i/>
          <w:color w:val="auto"/>
          <w:sz w:val="24"/>
          <w:szCs w:val="24"/>
        </w:rPr>
        <w:t>ary</w:t>
      </w:r>
      <w:r w:rsidRPr="004A7B03">
        <w:rPr>
          <w:b w:val="0"/>
          <w:i/>
          <w:color w:val="auto"/>
          <w:sz w:val="24"/>
          <w:szCs w:val="24"/>
        </w:rPr>
        <w:t xml:space="preserve"> data analysis</w:t>
      </w:r>
    </w:p>
    <w:p w:rsidR="007F7191" w:rsidRPr="0059415A" w:rsidRDefault="007F7191" w:rsidP="007F7191">
      <w:pPr>
        <w:spacing w:before="120" w:after="0" w:line="480" w:lineRule="auto"/>
        <w:ind w:firstLine="720"/>
        <w:jc w:val="both"/>
        <w:rPr>
          <w:sz w:val="24"/>
          <w:szCs w:val="24"/>
        </w:rPr>
      </w:pPr>
      <w:proofErr w:type="gramStart"/>
      <w:r w:rsidRPr="0059415A">
        <w:rPr>
          <w:sz w:val="24"/>
        </w:rPr>
        <w:t>Supplemental Fig</w:t>
      </w:r>
      <w:r>
        <w:rPr>
          <w:sz w:val="24"/>
        </w:rPr>
        <w:t>.</w:t>
      </w:r>
      <w:proofErr w:type="gramEnd"/>
      <w:r>
        <w:rPr>
          <w:sz w:val="24"/>
        </w:rPr>
        <w:t xml:space="preserve"> S4 and S5 </w:t>
      </w:r>
      <w:r w:rsidRPr="0059415A">
        <w:rPr>
          <w:sz w:val="24"/>
        </w:rPr>
        <w:t xml:space="preserve">illustrate the different values obtained between </w:t>
      </w:r>
      <w:proofErr w:type="spellStart"/>
      <w:r>
        <w:rPr>
          <w:sz w:val="24"/>
        </w:rPr>
        <w:t>InvUC</w:t>
      </w:r>
      <w:proofErr w:type="spellEnd"/>
      <w:r w:rsidRPr="0059415A">
        <w:rPr>
          <w:sz w:val="24"/>
        </w:rPr>
        <w:t xml:space="preserve"> and normal </w:t>
      </w:r>
      <w:proofErr w:type="spellStart"/>
      <w:r>
        <w:rPr>
          <w:sz w:val="24"/>
        </w:rPr>
        <w:t>urothelial</w:t>
      </w:r>
      <w:proofErr w:type="spellEnd"/>
      <w:r>
        <w:rPr>
          <w:sz w:val="24"/>
        </w:rPr>
        <w:t xml:space="preserve"> mass spectra</w:t>
      </w:r>
      <w:r w:rsidRPr="0059415A">
        <w:rPr>
          <w:sz w:val="24"/>
        </w:rPr>
        <w:t xml:space="preserve"> for values around </w:t>
      </w:r>
      <w:r w:rsidRPr="0059415A">
        <w:rPr>
          <w:i/>
          <w:sz w:val="24"/>
        </w:rPr>
        <w:t>m/z</w:t>
      </w:r>
      <w:r w:rsidRPr="0059415A">
        <w:rPr>
          <w:sz w:val="24"/>
        </w:rPr>
        <w:t xml:space="preserve"> 281.5 and </w:t>
      </w:r>
      <w:r w:rsidRPr="0059415A">
        <w:rPr>
          <w:i/>
          <w:sz w:val="24"/>
        </w:rPr>
        <w:t>m/z</w:t>
      </w:r>
      <w:r w:rsidRPr="0059415A">
        <w:rPr>
          <w:sz w:val="24"/>
        </w:rPr>
        <w:t xml:space="preserve"> 563.  One Way ANOVA of summed </w:t>
      </w:r>
      <w:r w:rsidRPr="002558E3">
        <w:rPr>
          <w:i/>
          <w:sz w:val="24"/>
        </w:rPr>
        <w:t>m/z</w:t>
      </w:r>
      <w:r w:rsidRPr="0059415A">
        <w:rPr>
          <w:sz w:val="24"/>
        </w:rPr>
        <w:t xml:space="preserve"> 562 to 564.5 for </w:t>
      </w:r>
      <w:r w:rsidRPr="0059415A">
        <w:rPr>
          <w:sz w:val="24"/>
          <w:szCs w:val="24"/>
        </w:rPr>
        <w:t xml:space="preserve">TIC normalized and mean centered </w:t>
      </w:r>
      <w:r w:rsidRPr="0059415A">
        <w:rPr>
          <w:sz w:val="24"/>
        </w:rPr>
        <w:t xml:space="preserve">normal </w:t>
      </w:r>
      <w:proofErr w:type="spellStart"/>
      <w:r>
        <w:rPr>
          <w:sz w:val="24"/>
        </w:rPr>
        <w:t>urotheli</w:t>
      </w:r>
      <w:r w:rsidRPr="0059415A">
        <w:rPr>
          <w:sz w:val="24"/>
        </w:rPr>
        <w:t>al</w:t>
      </w:r>
      <w:proofErr w:type="spellEnd"/>
      <w:r w:rsidRPr="0059415A">
        <w:rPr>
          <w:sz w:val="24"/>
        </w:rPr>
        <w:t xml:space="preserve"> and </w:t>
      </w:r>
      <w:proofErr w:type="spellStart"/>
      <w:r>
        <w:rPr>
          <w:sz w:val="24"/>
        </w:rPr>
        <w:t>InvUCmass</w:t>
      </w:r>
      <w:proofErr w:type="spellEnd"/>
      <w:r>
        <w:rPr>
          <w:sz w:val="24"/>
        </w:rPr>
        <w:t xml:space="preserve"> spectra</w:t>
      </w:r>
      <w:r w:rsidRPr="0059415A">
        <w:rPr>
          <w:sz w:val="24"/>
        </w:rPr>
        <w:t xml:space="preserve"> yielded a p value of 4 * 10</w:t>
      </w:r>
      <w:r w:rsidRPr="0059415A">
        <w:rPr>
          <w:sz w:val="24"/>
          <w:vertAlign w:val="superscript"/>
        </w:rPr>
        <w:t>-14</w:t>
      </w:r>
      <w:r w:rsidRPr="0059415A">
        <w:rPr>
          <w:sz w:val="24"/>
        </w:rPr>
        <w:t xml:space="preserve">.  One Way ANOVA of the maximum value within the range of </w:t>
      </w:r>
      <w:r w:rsidRPr="0059415A">
        <w:rPr>
          <w:i/>
          <w:sz w:val="24"/>
        </w:rPr>
        <w:t>m/z</w:t>
      </w:r>
      <w:r w:rsidRPr="0059415A">
        <w:rPr>
          <w:sz w:val="24"/>
        </w:rPr>
        <w:t xml:space="preserve"> 281 to 283 for </w:t>
      </w:r>
      <w:r w:rsidRPr="0059415A">
        <w:rPr>
          <w:sz w:val="24"/>
          <w:szCs w:val="24"/>
        </w:rPr>
        <w:t xml:space="preserve">TIC normalized and mean centered </w:t>
      </w:r>
      <w:r w:rsidRPr="0059415A">
        <w:rPr>
          <w:sz w:val="24"/>
        </w:rPr>
        <w:t xml:space="preserve">normal </w:t>
      </w:r>
      <w:proofErr w:type="spellStart"/>
      <w:r>
        <w:rPr>
          <w:sz w:val="24"/>
        </w:rPr>
        <w:t>uro</w:t>
      </w:r>
      <w:r w:rsidRPr="0059415A">
        <w:rPr>
          <w:sz w:val="24"/>
        </w:rPr>
        <w:t>thelial</w:t>
      </w:r>
      <w:proofErr w:type="spellEnd"/>
      <w:r w:rsidRPr="0059415A">
        <w:rPr>
          <w:sz w:val="24"/>
        </w:rPr>
        <w:t xml:space="preserve"> and </w:t>
      </w:r>
      <w:proofErr w:type="spellStart"/>
      <w:r>
        <w:rPr>
          <w:sz w:val="24"/>
        </w:rPr>
        <w:t>InvUCmass</w:t>
      </w:r>
      <w:proofErr w:type="spellEnd"/>
      <w:r>
        <w:rPr>
          <w:sz w:val="24"/>
        </w:rPr>
        <w:t xml:space="preserve"> spectra</w:t>
      </w:r>
      <w:r w:rsidRPr="0059415A">
        <w:rPr>
          <w:sz w:val="24"/>
        </w:rPr>
        <w:t xml:space="preserve"> yielded a p value of 4 * 10</w:t>
      </w:r>
      <w:r w:rsidRPr="0059415A">
        <w:rPr>
          <w:sz w:val="24"/>
          <w:vertAlign w:val="superscript"/>
        </w:rPr>
        <w:t>-10</w:t>
      </w:r>
      <w:r w:rsidRPr="0059415A">
        <w:rPr>
          <w:sz w:val="24"/>
        </w:rPr>
        <w:t xml:space="preserve">.  One Way ANOVA of integrated </w:t>
      </w:r>
      <w:r w:rsidRPr="0059415A">
        <w:rPr>
          <w:i/>
          <w:sz w:val="24"/>
        </w:rPr>
        <w:t>m/z</w:t>
      </w:r>
      <w:r w:rsidRPr="0059415A">
        <w:rPr>
          <w:sz w:val="24"/>
        </w:rPr>
        <w:t xml:space="preserve"> 281 to 283 for </w:t>
      </w:r>
      <w:r w:rsidRPr="0059415A">
        <w:rPr>
          <w:sz w:val="24"/>
          <w:szCs w:val="24"/>
        </w:rPr>
        <w:t xml:space="preserve">TIC normalized and mean centered </w:t>
      </w:r>
      <w:r w:rsidRPr="0059415A">
        <w:rPr>
          <w:sz w:val="24"/>
        </w:rPr>
        <w:t xml:space="preserve">normal </w:t>
      </w:r>
      <w:proofErr w:type="spellStart"/>
      <w:r>
        <w:rPr>
          <w:sz w:val="24"/>
        </w:rPr>
        <w:t>uro</w:t>
      </w:r>
      <w:r w:rsidRPr="0059415A">
        <w:rPr>
          <w:sz w:val="24"/>
        </w:rPr>
        <w:t>thelial</w:t>
      </w:r>
      <w:proofErr w:type="spellEnd"/>
      <w:r w:rsidRPr="0059415A">
        <w:rPr>
          <w:sz w:val="24"/>
        </w:rPr>
        <w:t xml:space="preserve"> and </w:t>
      </w:r>
      <w:proofErr w:type="spellStart"/>
      <w:r>
        <w:rPr>
          <w:sz w:val="24"/>
        </w:rPr>
        <w:t>InvUCmass</w:t>
      </w:r>
      <w:proofErr w:type="spellEnd"/>
      <w:r>
        <w:rPr>
          <w:sz w:val="24"/>
        </w:rPr>
        <w:t xml:space="preserve"> spectra</w:t>
      </w:r>
      <w:r w:rsidRPr="0059415A">
        <w:rPr>
          <w:sz w:val="24"/>
        </w:rPr>
        <w:t xml:space="preserve"> yielded a p value of 1</w:t>
      </w:r>
      <w:bookmarkStart w:id="0" w:name="_GoBack"/>
      <w:bookmarkEnd w:id="0"/>
      <w:r w:rsidRPr="0059415A">
        <w:rPr>
          <w:sz w:val="24"/>
        </w:rPr>
        <w:t>.1 * 10</w:t>
      </w:r>
      <w:r w:rsidRPr="0059415A">
        <w:rPr>
          <w:sz w:val="24"/>
          <w:vertAlign w:val="superscript"/>
        </w:rPr>
        <w:t>-6</w:t>
      </w:r>
      <w:r w:rsidRPr="0059415A">
        <w:rPr>
          <w:sz w:val="24"/>
        </w:rPr>
        <w:t xml:space="preserve">.  </w:t>
      </w:r>
    </w:p>
    <w:p w:rsidR="007F7191" w:rsidRDefault="007F7191" w:rsidP="007F7191">
      <w:pPr>
        <w:spacing w:before="120" w:after="0" w:line="480" w:lineRule="auto"/>
        <w:jc w:val="center"/>
        <w:rPr>
          <w:noProof/>
          <w:sz w:val="24"/>
        </w:rPr>
      </w:pPr>
      <w:r>
        <w:rPr>
          <w:noProof/>
          <w:sz w:val="24"/>
        </w:rPr>
        <w:pict>
          <v:shape id="_x0000_s1032" type="#_x0000_t202" style="position:absolute;left:0;text-align:left;margin-left:34.5pt;margin-top:7.8pt;width:33pt;height:24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" stroked="f">
            <v:textbox>
              <w:txbxContent>
                <w:p w:rsidR="007F7191" w:rsidRPr="00443827" w:rsidRDefault="007F7191" w:rsidP="007F7191">
                  <w:pPr>
                    <w:rPr>
                      <w:b/>
                    </w:rPr>
                  </w:pPr>
                  <w:r>
                    <w:rPr>
                      <w:b/>
                    </w:rPr>
                    <w:t>S4</w:t>
                  </w:r>
                  <w:r w:rsidRPr="00531291">
                    <w:rPr>
                      <w:b/>
                      <w:noProof/>
                    </w:rPr>
                    <w:drawing>
                      <wp:inline distT="0" distB="0" distL="0" distR="0">
                        <wp:extent cx="17780" cy="21821"/>
                        <wp:effectExtent l="0" t="0" r="0" b="0"/>
                        <wp:docPr id="13632" name="Picture 1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80" cy="21821"/>
                                </a:xfrm>
                                <a:prstGeom prst="rect">
                                  <a:avLst/>
                                </a:prstGeom>
                                <a:noFill/>
                                <a:ln>
                                  <a:noFill/>
                                </a:ln>
                              </pic:spPr>
                            </pic:pic>
                          </a:graphicData>
                        </a:graphic>
                      </wp:inline>
                    </w:drawing>
                  </w:r>
                </w:p>
              </w:txbxContent>
            </v:textbox>
            <w10:wrap anchorx="margin"/>
          </v:shape>
        </w:pict>
      </w:r>
      <w:r>
        <w:rPr>
          <w:noProof/>
        </w:rPr>
        <w:drawing>
          <wp:inline distT="0" distB="0" distL="0" distR="0">
            <wp:extent cx="5219700" cy="3886200"/>
            <wp:effectExtent l="0" t="0" r="0" b="0"/>
            <wp:docPr id="1364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F7191" w:rsidRPr="00E367E3" w:rsidRDefault="007F7191" w:rsidP="007F7191">
      <w:pPr>
        <w:pStyle w:val="Caption"/>
        <w:spacing w:line="480" w:lineRule="auto"/>
        <w:rPr>
          <w:i w:val="0"/>
          <w:sz w:val="24"/>
          <w:szCs w:val="24"/>
        </w:rPr>
      </w:pPr>
      <w:proofErr w:type="gramStart"/>
      <w:r w:rsidRPr="00E367E3">
        <w:rPr>
          <w:i w:val="0"/>
          <w:color w:val="auto"/>
          <w:sz w:val="24"/>
          <w:szCs w:val="24"/>
        </w:rPr>
        <w:t>Supplemental Fig.</w:t>
      </w:r>
      <w:proofErr w:type="gramEnd"/>
      <w:r w:rsidRPr="00E367E3">
        <w:rPr>
          <w:i w:val="0"/>
          <w:color w:val="auto"/>
          <w:sz w:val="24"/>
          <w:szCs w:val="24"/>
        </w:rPr>
        <w:t xml:space="preserve"> </w:t>
      </w:r>
      <w:r>
        <w:rPr>
          <w:i w:val="0"/>
          <w:color w:val="auto"/>
          <w:sz w:val="24"/>
          <w:szCs w:val="24"/>
        </w:rPr>
        <w:t>S</w:t>
      </w:r>
      <w:r w:rsidRPr="00E367E3">
        <w:rPr>
          <w:i w:val="0"/>
          <w:color w:val="auto"/>
          <w:sz w:val="24"/>
          <w:szCs w:val="24"/>
        </w:rPr>
        <w:t xml:space="preserve">4. The plot displays averaged </w:t>
      </w:r>
      <w:proofErr w:type="spellStart"/>
      <w:r w:rsidRPr="00E367E3">
        <w:rPr>
          <w:i w:val="0"/>
          <w:color w:val="auto"/>
          <w:sz w:val="24"/>
          <w:szCs w:val="24"/>
        </w:rPr>
        <w:t>InvUC</w:t>
      </w:r>
      <w:proofErr w:type="spellEnd"/>
      <w:r w:rsidRPr="00E367E3">
        <w:rPr>
          <w:i w:val="0"/>
          <w:color w:val="auto"/>
          <w:sz w:val="24"/>
          <w:szCs w:val="24"/>
        </w:rPr>
        <w:t xml:space="preserve"> and normal </w:t>
      </w:r>
      <w:proofErr w:type="spellStart"/>
      <w:r>
        <w:rPr>
          <w:i w:val="0"/>
          <w:color w:val="auto"/>
          <w:sz w:val="24"/>
          <w:szCs w:val="24"/>
        </w:rPr>
        <w:t>uro</w:t>
      </w:r>
      <w:r w:rsidRPr="00E367E3">
        <w:rPr>
          <w:i w:val="0"/>
          <w:color w:val="auto"/>
          <w:sz w:val="24"/>
          <w:szCs w:val="24"/>
        </w:rPr>
        <w:t>thelial</w:t>
      </w:r>
      <w:proofErr w:type="spellEnd"/>
      <w:r w:rsidRPr="00E367E3">
        <w:rPr>
          <w:i w:val="0"/>
          <w:color w:val="auto"/>
          <w:sz w:val="24"/>
          <w:szCs w:val="24"/>
        </w:rPr>
        <w:t xml:space="preserve"> mass spectra from </w:t>
      </w:r>
      <w:r w:rsidRPr="00E367E3">
        <w:rPr>
          <w:color w:val="auto"/>
          <w:sz w:val="24"/>
          <w:szCs w:val="24"/>
        </w:rPr>
        <w:t>m/z</w:t>
      </w:r>
      <w:r w:rsidRPr="00E367E3">
        <w:rPr>
          <w:i w:val="0"/>
          <w:color w:val="auto"/>
          <w:sz w:val="24"/>
          <w:szCs w:val="24"/>
        </w:rPr>
        <w:t xml:space="preserve"> 557 to </w:t>
      </w:r>
      <w:r w:rsidRPr="00E367E3">
        <w:rPr>
          <w:color w:val="auto"/>
          <w:sz w:val="24"/>
          <w:szCs w:val="24"/>
        </w:rPr>
        <w:t>m/z</w:t>
      </w:r>
      <w:r w:rsidRPr="00E367E3">
        <w:rPr>
          <w:i w:val="0"/>
          <w:color w:val="auto"/>
          <w:sz w:val="24"/>
          <w:szCs w:val="24"/>
        </w:rPr>
        <w:t xml:space="preserve"> 568.</w:t>
      </w:r>
    </w:p>
    <w:p w:rsidR="007F7191" w:rsidRPr="00AB4F67" w:rsidRDefault="007F7191" w:rsidP="007F7191">
      <w:pPr>
        <w:spacing w:before="120" w:after="0" w:line="480" w:lineRule="auto"/>
        <w:ind w:firstLine="720"/>
        <w:rPr>
          <w:rFonts w:cstheme="minorHAnsi"/>
          <w:sz w:val="24"/>
          <w:szCs w:val="24"/>
        </w:rPr>
      </w:pPr>
    </w:p>
    <w:p w:rsidR="007F7191" w:rsidRDefault="007F7191" w:rsidP="007F7191">
      <w:pPr>
        <w:spacing w:before="120" w:after="0" w:line="480" w:lineRule="auto"/>
        <w:jc w:val="both"/>
        <w:rPr>
          <w:sz w:val="24"/>
        </w:rPr>
      </w:pPr>
    </w:p>
    <w:p w:rsidR="007F7191" w:rsidRPr="00AB4F67" w:rsidRDefault="007F7191" w:rsidP="007F7191">
      <w:pPr>
        <w:spacing w:line="480" w:lineRule="auto"/>
        <w:ind w:left="720" w:hanging="720"/>
        <w:rPr>
          <w:rFonts w:cstheme="minorHAnsi"/>
          <w:b/>
          <w:sz w:val="24"/>
          <w:szCs w:val="24"/>
        </w:rPr>
      </w:pPr>
      <w:r w:rsidRPr="00074180">
        <w:rPr>
          <w:noProof/>
          <w:sz w:val="24"/>
        </w:rPr>
        <w:pict>
          <v:shape id="_x0000_s1033" type="#_x0000_t202" style="position:absolute;left:0;text-align:left;margin-left:4.4pt;margin-top:6.6pt;width:33.95pt;height:20.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" stroked="f">
            <v:textbox>
              <w:txbxContent>
                <w:p w:rsidR="007F7191" w:rsidRPr="00443827" w:rsidRDefault="007F7191" w:rsidP="007F7191">
                  <w:pPr>
                    <w:rPr>
                      <w:b/>
                    </w:rPr>
                  </w:pPr>
                  <w:r>
                    <w:rPr>
                      <w:b/>
                    </w:rPr>
                    <w:t>S5</w:t>
                  </w:r>
                  <w:r w:rsidRPr="00B1599E">
                    <w:rPr>
                      <w:b/>
                      <w:noProof/>
                    </w:rPr>
                    <w:drawing>
                      <wp:inline distT="0" distB="0" distL="0" distR="0">
                        <wp:extent cx="17780" cy="22629"/>
                        <wp:effectExtent l="0" t="0" r="0" b="0"/>
                        <wp:docPr id="13633" name="Picture 1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80" cy="22629"/>
                                </a:xfrm>
                                <a:prstGeom prst="rect">
                                  <a:avLst/>
                                </a:prstGeom>
                                <a:noFill/>
                                <a:ln>
                                  <a:noFill/>
                                </a:ln>
                              </pic:spPr>
                            </pic:pic>
                          </a:graphicData>
                        </a:graphic>
                      </wp:inline>
                    </w:drawing>
                  </w:r>
                  <w:r w:rsidRPr="00531291">
                    <w:rPr>
                      <w:b/>
                      <w:noProof/>
                    </w:rPr>
                    <w:drawing>
                      <wp:inline distT="0" distB="0" distL="0" distR="0">
                        <wp:extent cx="17780" cy="21821"/>
                        <wp:effectExtent l="0" t="0" r="0" b="0"/>
                        <wp:docPr id="13634" name="Picture 1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80" cy="21821"/>
                                </a:xfrm>
                                <a:prstGeom prst="rect">
                                  <a:avLst/>
                                </a:prstGeom>
                                <a:noFill/>
                                <a:ln>
                                  <a:noFill/>
                                </a:ln>
                              </pic:spPr>
                            </pic:pic>
                          </a:graphicData>
                        </a:graphic>
                      </wp:inline>
                    </w:drawing>
                  </w:r>
                </w:p>
              </w:txbxContent>
            </v:textbox>
            <w10:wrap anchorx="margin"/>
          </v:shape>
        </w:pict>
      </w:r>
      <w:r>
        <w:rPr>
          <w:noProof/>
        </w:rPr>
        <w:drawing>
          <wp:inline distT="0" distB="0" distL="0" distR="0">
            <wp:extent cx="5857875" cy="3390900"/>
            <wp:effectExtent l="0" t="0" r="9525" b="0"/>
            <wp:docPr id="1364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F7191" w:rsidRPr="00E367E3" w:rsidRDefault="007F7191" w:rsidP="007F7191">
      <w:pPr>
        <w:pStyle w:val="Caption"/>
        <w:spacing w:line="480" w:lineRule="auto"/>
        <w:rPr>
          <w:i w:val="0"/>
          <w:sz w:val="24"/>
          <w:szCs w:val="24"/>
        </w:rPr>
      </w:pPr>
      <w:proofErr w:type="gramStart"/>
      <w:r w:rsidRPr="00E367E3">
        <w:rPr>
          <w:i w:val="0"/>
          <w:color w:val="auto"/>
          <w:sz w:val="24"/>
          <w:szCs w:val="24"/>
        </w:rPr>
        <w:t>Supplemental Fig</w:t>
      </w:r>
      <w:r>
        <w:rPr>
          <w:i w:val="0"/>
          <w:color w:val="auto"/>
          <w:sz w:val="24"/>
          <w:szCs w:val="24"/>
        </w:rPr>
        <w:t>.</w:t>
      </w:r>
      <w:proofErr w:type="gramEnd"/>
      <w:r>
        <w:rPr>
          <w:i w:val="0"/>
          <w:color w:val="auto"/>
          <w:sz w:val="24"/>
          <w:szCs w:val="24"/>
        </w:rPr>
        <w:t xml:space="preserve"> S5</w:t>
      </w:r>
      <w:r w:rsidRPr="00E367E3">
        <w:rPr>
          <w:i w:val="0"/>
          <w:color w:val="auto"/>
          <w:sz w:val="24"/>
          <w:szCs w:val="24"/>
        </w:rPr>
        <w:t xml:space="preserve">. The plot displays averaged </w:t>
      </w:r>
      <w:proofErr w:type="spellStart"/>
      <w:r w:rsidRPr="00E367E3">
        <w:rPr>
          <w:i w:val="0"/>
          <w:color w:val="auto"/>
          <w:sz w:val="24"/>
          <w:szCs w:val="24"/>
        </w:rPr>
        <w:t>InvUC</w:t>
      </w:r>
      <w:proofErr w:type="spellEnd"/>
      <w:r w:rsidRPr="00E367E3">
        <w:rPr>
          <w:i w:val="0"/>
          <w:color w:val="auto"/>
          <w:sz w:val="24"/>
          <w:szCs w:val="24"/>
        </w:rPr>
        <w:t xml:space="preserve"> and normal </w:t>
      </w:r>
      <w:proofErr w:type="spellStart"/>
      <w:r>
        <w:rPr>
          <w:i w:val="0"/>
          <w:color w:val="auto"/>
          <w:sz w:val="24"/>
          <w:szCs w:val="24"/>
        </w:rPr>
        <w:t>uro</w:t>
      </w:r>
      <w:r w:rsidRPr="00E367E3">
        <w:rPr>
          <w:i w:val="0"/>
          <w:color w:val="auto"/>
          <w:sz w:val="24"/>
          <w:szCs w:val="24"/>
        </w:rPr>
        <w:t>thelial</w:t>
      </w:r>
      <w:proofErr w:type="spellEnd"/>
      <w:r w:rsidRPr="00E367E3">
        <w:rPr>
          <w:i w:val="0"/>
          <w:color w:val="auto"/>
          <w:sz w:val="24"/>
          <w:szCs w:val="24"/>
        </w:rPr>
        <w:t xml:space="preserve"> mass spectra from </w:t>
      </w:r>
      <w:r w:rsidRPr="00E367E3">
        <w:rPr>
          <w:color w:val="auto"/>
          <w:sz w:val="24"/>
          <w:szCs w:val="24"/>
        </w:rPr>
        <w:t>m/z</w:t>
      </w:r>
      <w:r>
        <w:rPr>
          <w:i w:val="0"/>
          <w:color w:val="auto"/>
          <w:sz w:val="24"/>
          <w:szCs w:val="24"/>
        </w:rPr>
        <w:t>277</w:t>
      </w:r>
      <w:r w:rsidRPr="00E367E3">
        <w:rPr>
          <w:i w:val="0"/>
          <w:color w:val="auto"/>
          <w:sz w:val="24"/>
          <w:szCs w:val="24"/>
        </w:rPr>
        <w:t xml:space="preserve"> to </w:t>
      </w:r>
      <w:r w:rsidRPr="00E367E3">
        <w:rPr>
          <w:color w:val="auto"/>
          <w:sz w:val="24"/>
          <w:szCs w:val="24"/>
        </w:rPr>
        <w:t>m/z</w:t>
      </w:r>
      <w:r>
        <w:rPr>
          <w:i w:val="0"/>
          <w:color w:val="auto"/>
          <w:sz w:val="24"/>
          <w:szCs w:val="24"/>
        </w:rPr>
        <w:t>285</w:t>
      </w:r>
      <w:r w:rsidRPr="00E367E3">
        <w:rPr>
          <w:i w:val="0"/>
          <w:color w:val="auto"/>
          <w:sz w:val="24"/>
          <w:szCs w:val="24"/>
        </w:rPr>
        <w:t>.</w:t>
      </w:r>
      <w:r>
        <w:rPr>
          <w:i w:val="0"/>
          <w:color w:val="auto"/>
          <w:sz w:val="24"/>
          <w:szCs w:val="24"/>
        </w:rPr>
        <w:t xml:space="preserve"> Note the peak at 281.5 in </w:t>
      </w:r>
      <w:proofErr w:type="spellStart"/>
      <w:r>
        <w:rPr>
          <w:i w:val="0"/>
          <w:color w:val="auto"/>
          <w:sz w:val="24"/>
          <w:szCs w:val="24"/>
        </w:rPr>
        <w:t>InvUC</w:t>
      </w:r>
      <w:proofErr w:type="spellEnd"/>
      <w:r>
        <w:rPr>
          <w:i w:val="0"/>
          <w:color w:val="auto"/>
          <w:sz w:val="24"/>
          <w:szCs w:val="24"/>
        </w:rPr>
        <w:t xml:space="preserve"> and the peak of 283.5 in the normal </w:t>
      </w:r>
      <w:proofErr w:type="spellStart"/>
      <w:r>
        <w:rPr>
          <w:i w:val="0"/>
          <w:color w:val="auto"/>
          <w:sz w:val="24"/>
          <w:szCs w:val="24"/>
        </w:rPr>
        <w:t>urothelium</w:t>
      </w:r>
      <w:proofErr w:type="spellEnd"/>
      <w:r>
        <w:rPr>
          <w:i w:val="0"/>
          <w:color w:val="auto"/>
          <w:sz w:val="24"/>
          <w:szCs w:val="24"/>
        </w:rPr>
        <w:t>. As noted i</w:t>
      </w:r>
      <w:r w:rsidRPr="009E7DD4">
        <w:rPr>
          <w:i w:val="0"/>
          <w:color w:val="auto"/>
          <w:sz w:val="24"/>
          <w:szCs w:val="24"/>
        </w:rPr>
        <w:t xml:space="preserve">n the Figure 2 legend, </w:t>
      </w:r>
      <w:r w:rsidRPr="009E7DD4">
        <w:rPr>
          <w:color w:val="auto"/>
          <w:sz w:val="24"/>
          <w:szCs w:val="24"/>
        </w:rPr>
        <w:t>m/z</w:t>
      </w:r>
      <w:r w:rsidRPr="009E7DD4">
        <w:rPr>
          <w:i w:val="0"/>
          <w:color w:val="auto"/>
          <w:sz w:val="24"/>
          <w:szCs w:val="24"/>
        </w:rPr>
        <w:t xml:space="preserve"> 283.5 was particularly high in two samples from normal </w:t>
      </w:r>
      <w:proofErr w:type="spellStart"/>
      <w:r w:rsidRPr="009E7DD4">
        <w:rPr>
          <w:i w:val="0"/>
          <w:color w:val="auto"/>
          <w:sz w:val="24"/>
          <w:szCs w:val="24"/>
        </w:rPr>
        <w:t>urothelium</w:t>
      </w:r>
      <w:proofErr w:type="spellEnd"/>
      <w:r w:rsidRPr="009E7DD4">
        <w:rPr>
          <w:i w:val="0"/>
          <w:color w:val="auto"/>
          <w:sz w:val="24"/>
          <w:szCs w:val="24"/>
        </w:rPr>
        <w:t>, and not as high in other normal samples.  This plot excludes those two samples “DN” and “EA”.</w:t>
      </w:r>
    </w:p>
    <w:p w:rsidR="007F7191" w:rsidRDefault="007F7191" w:rsidP="007F7191">
      <w:pPr>
        <w:pStyle w:val="Heading1"/>
        <w:spacing w:line="480" w:lineRule="auto"/>
        <w:rPr>
          <w:b w:val="0"/>
          <w:i/>
          <w:color w:val="auto"/>
          <w:sz w:val="24"/>
          <w:szCs w:val="24"/>
        </w:rPr>
      </w:pPr>
      <w:r>
        <w:rPr>
          <w:b w:val="0"/>
          <w:i/>
          <w:color w:val="auto"/>
          <w:sz w:val="24"/>
          <w:szCs w:val="24"/>
        </w:rPr>
        <w:t>DESI-</w:t>
      </w:r>
      <w:r w:rsidRPr="004A7B03">
        <w:rPr>
          <w:b w:val="0"/>
          <w:i/>
          <w:color w:val="auto"/>
          <w:sz w:val="24"/>
          <w:szCs w:val="24"/>
        </w:rPr>
        <w:t>MS supplement</w:t>
      </w:r>
      <w:r>
        <w:rPr>
          <w:b w:val="0"/>
          <w:i/>
          <w:color w:val="auto"/>
          <w:sz w:val="24"/>
          <w:szCs w:val="24"/>
        </w:rPr>
        <w:t>ary</w:t>
      </w:r>
      <w:r w:rsidRPr="004A7B03">
        <w:rPr>
          <w:b w:val="0"/>
          <w:i/>
          <w:color w:val="auto"/>
          <w:sz w:val="24"/>
          <w:szCs w:val="24"/>
        </w:rPr>
        <w:t xml:space="preserve"> data analysis</w:t>
      </w:r>
    </w:p>
    <w:p w:rsidR="007F7191" w:rsidRDefault="007F7191" w:rsidP="007F7191">
      <w:pPr>
        <w:spacing w:line="480" w:lineRule="auto"/>
        <w:ind w:firstLine="720"/>
        <w:rPr>
          <w:sz w:val="24"/>
          <w:szCs w:val="24"/>
        </w:rPr>
      </w:pPr>
      <w:r>
        <w:rPr>
          <w:sz w:val="24"/>
          <w:szCs w:val="24"/>
        </w:rPr>
        <w:t xml:space="preserve">In the analysis of the DESI-MS data, a trend was observed for differences between the </w:t>
      </w:r>
      <w:proofErr w:type="spellStart"/>
      <w:r>
        <w:rPr>
          <w:sz w:val="24"/>
          <w:szCs w:val="24"/>
        </w:rPr>
        <w:t>InvUC</w:t>
      </w:r>
      <w:proofErr w:type="spellEnd"/>
      <w:r>
        <w:rPr>
          <w:sz w:val="24"/>
          <w:szCs w:val="24"/>
        </w:rPr>
        <w:t xml:space="preserve"> spectra in dogs in high-risk breeds compared to dogs in low-risk breeds.  The trend was </w:t>
      </w:r>
      <w:r w:rsidRPr="00D7428C">
        <w:rPr>
          <w:sz w:val="24"/>
          <w:szCs w:val="24"/>
        </w:rPr>
        <w:t xml:space="preserve">for </w:t>
      </w:r>
      <w:r w:rsidRPr="00D7428C">
        <w:rPr>
          <w:i/>
          <w:sz w:val="24"/>
          <w:szCs w:val="24"/>
        </w:rPr>
        <w:t>m/z</w:t>
      </w:r>
      <w:r w:rsidRPr="00D7428C">
        <w:rPr>
          <w:sz w:val="24"/>
          <w:szCs w:val="24"/>
        </w:rPr>
        <w:t xml:space="preserve"> 281.5 and </w:t>
      </w:r>
      <w:r w:rsidRPr="00D7428C">
        <w:rPr>
          <w:i/>
          <w:sz w:val="24"/>
          <w:szCs w:val="24"/>
        </w:rPr>
        <w:t>m/z</w:t>
      </w:r>
      <w:r w:rsidRPr="00D7428C">
        <w:rPr>
          <w:sz w:val="24"/>
          <w:szCs w:val="24"/>
        </w:rPr>
        <w:t xml:space="preserve"> 563.5 to be even more abundant in high-risk breeds than in low-risk breeds</w:t>
      </w:r>
      <w:r>
        <w:rPr>
          <w:sz w:val="24"/>
          <w:szCs w:val="24"/>
        </w:rPr>
        <w:t xml:space="preserve"> (Fig S6). This finding was in addition to the finding of </w:t>
      </w:r>
      <w:r w:rsidRPr="001C5DA5">
        <w:rPr>
          <w:i/>
          <w:sz w:val="24"/>
          <w:szCs w:val="24"/>
        </w:rPr>
        <w:t>m/z</w:t>
      </w:r>
      <w:r>
        <w:rPr>
          <w:sz w:val="24"/>
          <w:szCs w:val="24"/>
        </w:rPr>
        <w:t xml:space="preserve"> 281.5 and </w:t>
      </w:r>
      <w:r w:rsidRPr="001C5DA5">
        <w:rPr>
          <w:i/>
          <w:sz w:val="24"/>
          <w:szCs w:val="24"/>
        </w:rPr>
        <w:t>m/z</w:t>
      </w:r>
      <w:r>
        <w:rPr>
          <w:sz w:val="24"/>
          <w:szCs w:val="24"/>
        </w:rPr>
        <w:t xml:space="preserve"> 563.5 being more </w:t>
      </w:r>
      <w:r>
        <w:rPr>
          <w:sz w:val="24"/>
          <w:szCs w:val="24"/>
        </w:rPr>
        <w:lastRenderedPageBreak/>
        <w:t xml:space="preserve">abundant in </w:t>
      </w:r>
      <w:proofErr w:type="spellStart"/>
      <w:r>
        <w:rPr>
          <w:sz w:val="24"/>
          <w:szCs w:val="24"/>
        </w:rPr>
        <w:t>InvUC</w:t>
      </w:r>
      <w:proofErr w:type="spellEnd"/>
      <w:r>
        <w:rPr>
          <w:sz w:val="24"/>
          <w:szCs w:val="24"/>
        </w:rPr>
        <w:t xml:space="preserve"> (across all breeds) than in normal </w:t>
      </w:r>
      <w:proofErr w:type="spellStart"/>
      <w:r>
        <w:rPr>
          <w:sz w:val="24"/>
          <w:szCs w:val="24"/>
        </w:rPr>
        <w:t>urothelium</w:t>
      </w:r>
      <w:proofErr w:type="spellEnd"/>
      <w:r>
        <w:rPr>
          <w:sz w:val="24"/>
          <w:szCs w:val="24"/>
        </w:rPr>
        <w:t xml:space="preserve">. The </w:t>
      </w:r>
      <w:proofErr w:type="gramStart"/>
      <w:r>
        <w:rPr>
          <w:sz w:val="24"/>
          <w:szCs w:val="24"/>
        </w:rPr>
        <w:t>differences in the spectra between breeds was</w:t>
      </w:r>
      <w:proofErr w:type="gramEnd"/>
      <w:r>
        <w:rPr>
          <w:sz w:val="24"/>
          <w:szCs w:val="24"/>
        </w:rPr>
        <w:t xml:space="preserve"> not observed in TS-MS data. This is not unexpected because TS-MS analysis is based on less data than DESI-MS analysis. </w:t>
      </w:r>
    </w:p>
    <w:p w:rsidR="007F7191" w:rsidRDefault="007F7191" w:rsidP="007F7191">
      <w:pPr>
        <w:spacing w:line="480" w:lineRule="auto"/>
        <w:rPr>
          <w:sz w:val="24"/>
          <w:szCs w:val="24"/>
        </w:rPr>
      </w:pPr>
    </w:p>
    <w:p w:rsidR="007F7191" w:rsidRDefault="007F7191" w:rsidP="007F7191">
      <w:pPr>
        <w:spacing w:line="480" w:lineRule="auto"/>
        <w:rPr>
          <w:sz w:val="24"/>
          <w:szCs w:val="24"/>
        </w:rPr>
      </w:pPr>
      <w:r>
        <w:rPr>
          <w:noProof/>
          <w:sz w:val="24"/>
          <w:szCs w:val="24"/>
        </w:rPr>
        <w:drawing>
          <wp:inline distT="0" distB="0" distL="0" distR="0">
            <wp:extent cx="6219190" cy="5107723"/>
            <wp:effectExtent l="0" t="0" r="0" b="0"/>
            <wp:docPr id="13643" name="Picture 1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0769" cy="5133658"/>
                    </a:xfrm>
                    <a:prstGeom prst="rect">
                      <a:avLst/>
                    </a:prstGeom>
                    <a:noFill/>
                  </pic:spPr>
                </pic:pic>
              </a:graphicData>
            </a:graphic>
          </wp:inline>
        </w:drawing>
      </w:r>
    </w:p>
    <w:p w:rsidR="007F7191" w:rsidRDefault="007F7191" w:rsidP="007F7191">
      <w:pPr>
        <w:spacing w:after="0" w:line="480" w:lineRule="auto"/>
        <w:rPr>
          <w:rFonts w:cstheme="minorHAnsi"/>
          <w:b/>
          <w:sz w:val="24"/>
          <w:szCs w:val="24"/>
        </w:rPr>
      </w:pPr>
      <w:proofErr w:type="gramStart"/>
      <w:r>
        <w:rPr>
          <w:rFonts w:cstheme="minorHAnsi"/>
          <w:sz w:val="24"/>
          <w:szCs w:val="24"/>
        </w:rPr>
        <w:t xml:space="preserve">Supplemental </w:t>
      </w:r>
      <w:r w:rsidRPr="00473EF3">
        <w:rPr>
          <w:rFonts w:cstheme="minorHAnsi"/>
          <w:sz w:val="24"/>
          <w:szCs w:val="24"/>
        </w:rPr>
        <w:t>Fig.</w:t>
      </w:r>
      <w:proofErr w:type="gramEnd"/>
      <w:r>
        <w:rPr>
          <w:rFonts w:cstheme="minorHAnsi"/>
          <w:sz w:val="24"/>
          <w:szCs w:val="24"/>
        </w:rPr>
        <w:t xml:space="preserve"> S6. </w:t>
      </w:r>
      <w:r w:rsidRPr="00473EF3">
        <w:rPr>
          <w:rFonts w:cstheme="minorHAnsi"/>
          <w:sz w:val="24"/>
          <w:szCs w:val="24"/>
        </w:rPr>
        <w:t xml:space="preserve"> PCA </w:t>
      </w:r>
      <w:r>
        <w:rPr>
          <w:rFonts w:cstheme="minorHAnsi"/>
          <w:sz w:val="24"/>
          <w:szCs w:val="24"/>
        </w:rPr>
        <w:t>score plot and loading p</w:t>
      </w:r>
      <w:r w:rsidRPr="00473EF3">
        <w:rPr>
          <w:rFonts w:cstheme="minorHAnsi"/>
          <w:sz w:val="24"/>
          <w:szCs w:val="24"/>
        </w:rPr>
        <w:t xml:space="preserve">lot for DESI-MS negative mode data </w:t>
      </w:r>
      <w:r w:rsidRPr="00473EF3">
        <w:rPr>
          <w:rFonts w:cstheme="minorHAnsi"/>
          <w:i/>
          <w:sz w:val="24"/>
          <w:szCs w:val="24"/>
        </w:rPr>
        <w:t>m/z</w:t>
      </w:r>
      <w:r w:rsidRPr="00473EF3">
        <w:rPr>
          <w:rFonts w:cstheme="minorHAnsi"/>
          <w:sz w:val="24"/>
          <w:szCs w:val="24"/>
        </w:rPr>
        <w:t xml:space="preserve"> range 277 – 286</w:t>
      </w:r>
      <w:r w:rsidRPr="00AB4F67">
        <w:rPr>
          <w:rFonts w:cstheme="minorHAnsi"/>
          <w:sz w:val="24"/>
          <w:szCs w:val="24"/>
        </w:rPr>
        <w:t xml:space="preserve"> and 557 – 586, from canine </w:t>
      </w:r>
      <w:proofErr w:type="spellStart"/>
      <w:r w:rsidRPr="00AB4F67">
        <w:rPr>
          <w:rFonts w:cstheme="minorHAnsi"/>
          <w:sz w:val="24"/>
          <w:szCs w:val="24"/>
        </w:rPr>
        <w:t>InvUC</w:t>
      </w:r>
      <w:proofErr w:type="spellEnd"/>
      <w:r w:rsidRPr="00AB4F67">
        <w:rPr>
          <w:rFonts w:cstheme="minorHAnsi"/>
          <w:sz w:val="24"/>
          <w:szCs w:val="24"/>
        </w:rPr>
        <w:t xml:space="preserve"> from high-risk breeds (solid </w:t>
      </w:r>
      <w:r>
        <w:rPr>
          <w:rFonts w:cstheme="minorHAnsi"/>
          <w:sz w:val="24"/>
          <w:szCs w:val="24"/>
        </w:rPr>
        <w:t xml:space="preserve">red </w:t>
      </w:r>
      <w:r w:rsidRPr="00AB4F67">
        <w:rPr>
          <w:rFonts w:cstheme="minorHAnsi"/>
          <w:sz w:val="24"/>
          <w:szCs w:val="24"/>
        </w:rPr>
        <w:t xml:space="preserve">triangles), </w:t>
      </w:r>
      <w:r>
        <w:rPr>
          <w:rFonts w:cstheme="minorHAnsi"/>
          <w:sz w:val="24"/>
          <w:szCs w:val="24"/>
        </w:rPr>
        <w:t>low-risk</w:t>
      </w:r>
      <w:r w:rsidRPr="00AB4F67">
        <w:rPr>
          <w:rFonts w:cstheme="minorHAnsi"/>
          <w:sz w:val="24"/>
          <w:szCs w:val="24"/>
        </w:rPr>
        <w:t xml:space="preserve"> breeds </w:t>
      </w:r>
      <w:r w:rsidRPr="00512DA6">
        <w:rPr>
          <w:rFonts w:cstheme="minorHAnsi"/>
          <w:sz w:val="24"/>
          <w:szCs w:val="24"/>
        </w:rPr>
        <w:t xml:space="preserve">(open </w:t>
      </w:r>
      <w:r>
        <w:rPr>
          <w:rFonts w:cstheme="minorHAnsi"/>
          <w:sz w:val="24"/>
          <w:szCs w:val="24"/>
        </w:rPr>
        <w:t xml:space="preserve">red </w:t>
      </w:r>
      <w:r w:rsidRPr="00512DA6">
        <w:rPr>
          <w:rFonts w:cstheme="minorHAnsi"/>
          <w:sz w:val="24"/>
          <w:szCs w:val="24"/>
        </w:rPr>
        <w:t xml:space="preserve">squares), and from normal </w:t>
      </w:r>
      <w:proofErr w:type="spellStart"/>
      <w:r w:rsidRPr="00512DA6">
        <w:rPr>
          <w:rFonts w:cstheme="minorHAnsi"/>
          <w:sz w:val="24"/>
          <w:szCs w:val="24"/>
        </w:rPr>
        <w:t>urothelium</w:t>
      </w:r>
      <w:proofErr w:type="spellEnd"/>
      <w:r w:rsidRPr="00512DA6">
        <w:rPr>
          <w:rFonts w:cstheme="minorHAnsi"/>
          <w:sz w:val="24"/>
          <w:szCs w:val="24"/>
        </w:rPr>
        <w:t xml:space="preserve"> (</w:t>
      </w:r>
      <w:r>
        <w:rPr>
          <w:rFonts w:cstheme="minorHAnsi"/>
          <w:sz w:val="24"/>
          <w:szCs w:val="24"/>
        </w:rPr>
        <w:t>green</w:t>
      </w:r>
      <w:r w:rsidRPr="00512DA6">
        <w:rPr>
          <w:rFonts w:cstheme="minorHAnsi"/>
          <w:sz w:val="24"/>
          <w:szCs w:val="24"/>
        </w:rPr>
        <w:t xml:space="preserve"> circles). A. PCA score </w:t>
      </w:r>
      <w:r w:rsidRPr="00512DA6">
        <w:rPr>
          <w:rFonts w:cstheme="minorHAnsi"/>
          <w:sz w:val="24"/>
          <w:szCs w:val="24"/>
        </w:rPr>
        <w:lastRenderedPageBreak/>
        <w:t>plot (PC1 vs. PC3)</w:t>
      </w:r>
      <w:r w:rsidRPr="00AB4F67">
        <w:rPr>
          <w:rFonts w:cstheme="minorHAnsi"/>
          <w:sz w:val="24"/>
          <w:szCs w:val="24"/>
        </w:rPr>
        <w:t xml:space="preserve"> demonstrates the separation between the average mass spectra from </w:t>
      </w:r>
      <w:proofErr w:type="spellStart"/>
      <w:r w:rsidRPr="00AB4F67">
        <w:rPr>
          <w:rFonts w:cstheme="minorHAnsi"/>
          <w:sz w:val="24"/>
          <w:szCs w:val="24"/>
        </w:rPr>
        <w:t>InvUC</w:t>
      </w:r>
      <w:proofErr w:type="spellEnd"/>
      <w:r w:rsidRPr="00AB4F67">
        <w:rPr>
          <w:rFonts w:cstheme="minorHAnsi"/>
          <w:sz w:val="24"/>
          <w:szCs w:val="24"/>
        </w:rPr>
        <w:t xml:space="preserve"> </w:t>
      </w:r>
      <w:proofErr w:type="spellStart"/>
      <w:r w:rsidRPr="00AB4F67">
        <w:rPr>
          <w:rFonts w:cstheme="minorHAnsi"/>
          <w:sz w:val="24"/>
          <w:szCs w:val="24"/>
        </w:rPr>
        <w:t>vs</w:t>
      </w:r>
      <w:proofErr w:type="spellEnd"/>
      <w:r w:rsidRPr="00AB4F67">
        <w:rPr>
          <w:rFonts w:cstheme="minorHAnsi"/>
          <w:sz w:val="24"/>
          <w:szCs w:val="24"/>
        </w:rPr>
        <w:t xml:space="preserve"> normal </w:t>
      </w:r>
      <w:proofErr w:type="spellStart"/>
      <w:r w:rsidRPr="00AB4F67">
        <w:rPr>
          <w:rFonts w:cstheme="minorHAnsi"/>
          <w:sz w:val="24"/>
          <w:szCs w:val="24"/>
        </w:rPr>
        <w:t>urothelium</w:t>
      </w:r>
      <w:proofErr w:type="spellEnd"/>
      <w:r w:rsidRPr="00AB4F67">
        <w:rPr>
          <w:rFonts w:cstheme="minorHAnsi"/>
          <w:sz w:val="24"/>
          <w:szCs w:val="24"/>
        </w:rPr>
        <w:t xml:space="preserve">. There is a </w:t>
      </w:r>
      <w:r>
        <w:rPr>
          <w:rFonts w:cstheme="minorHAnsi"/>
          <w:sz w:val="24"/>
          <w:szCs w:val="24"/>
        </w:rPr>
        <w:t xml:space="preserve">possible </w:t>
      </w:r>
      <w:r w:rsidRPr="00AB4F67">
        <w:rPr>
          <w:rFonts w:cstheme="minorHAnsi"/>
          <w:sz w:val="24"/>
          <w:szCs w:val="24"/>
        </w:rPr>
        <w:t xml:space="preserve">trend towards separation of the </w:t>
      </w:r>
      <w:proofErr w:type="spellStart"/>
      <w:r w:rsidRPr="00AB4F67">
        <w:rPr>
          <w:rFonts w:cstheme="minorHAnsi"/>
          <w:sz w:val="24"/>
          <w:szCs w:val="24"/>
        </w:rPr>
        <w:t>InvUC</w:t>
      </w:r>
      <w:proofErr w:type="spellEnd"/>
      <w:r w:rsidRPr="00AB4F67">
        <w:rPr>
          <w:rFonts w:cstheme="minorHAnsi"/>
          <w:sz w:val="24"/>
          <w:szCs w:val="24"/>
        </w:rPr>
        <w:t xml:space="preserve"> spectra based on high-risk </w:t>
      </w:r>
      <w:proofErr w:type="spellStart"/>
      <w:r w:rsidRPr="00AB4F67">
        <w:rPr>
          <w:rFonts w:cstheme="minorHAnsi"/>
          <w:sz w:val="24"/>
          <w:szCs w:val="24"/>
        </w:rPr>
        <w:t>vs</w:t>
      </w:r>
      <w:proofErr w:type="spellEnd"/>
      <w:r w:rsidRPr="00AB4F67">
        <w:rPr>
          <w:rFonts w:cstheme="minorHAnsi"/>
          <w:sz w:val="24"/>
          <w:szCs w:val="24"/>
        </w:rPr>
        <w:t xml:space="preserve"> low-risk breed dogs.  An </w:t>
      </w:r>
      <w:proofErr w:type="spellStart"/>
      <w:r w:rsidRPr="00AB4F67">
        <w:rPr>
          <w:rFonts w:cstheme="minorHAnsi"/>
          <w:sz w:val="24"/>
          <w:szCs w:val="24"/>
        </w:rPr>
        <w:t>InvUC</w:t>
      </w:r>
      <w:proofErr w:type="spellEnd"/>
      <w:r w:rsidRPr="00AB4F67">
        <w:rPr>
          <w:rFonts w:cstheme="minorHAnsi"/>
          <w:sz w:val="24"/>
          <w:szCs w:val="24"/>
        </w:rPr>
        <w:t xml:space="preserve"> / normal</w:t>
      </w:r>
      <w:r>
        <w:rPr>
          <w:rFonts w:cstheme="minorHAnsi"/>
          <w:sz w:val="24"/>
          <w:szCs w:val="24"/>
        </w:rPr>
        <w:t xml:space="preserve"> </w:t>
      </w:r>
      <w:proofErr w:type="spellStart"/>
      <w:r>
        <w:rPr>
          <w:rFonts w:cstheme="minorHAnsi"/>
          <w:sz w:val="24"/>
          <w:szCs w:val="24"/>
        </w:rPr>
        <w:t>urothelium</w:t>
      </w:r>
      <w:proofErr w:type="spellEnd"/>
      <w:r w:rsidRPr="00AB4F67">
        <w:rPr>
          <w:rFonts w:cstheme="minorHAnsi"/>
          <w:sz w:val="24"/>
          <w:szCs w:val="24"/>
        </w:rPr>
        <w:t xml:space="preserve"> dividing region consisting of a pair of dividing lines runs from Cartesian coordinates -2,-4 to 10,4 and -4,-4 to 10,5.  An </w:t>
      </w:r>
      <w:proofErr w:type="spellStart"/>
      <w:r w:rsidRPr="00AB4F67">
        <w:rPr>
          <w:rFonts w:cstheme="minorHAnsi"/>
          <w:sz w:val="24"/>
          <w:szCs w:val="24"/>
        </w:rPr>
        <w:t>InvUC</w:t>
      </w:r>
      <w:proofErr w:type="spellEnd"/>
      <w:r w:rsidRPr="00AB4F67">
        <w:rPr>
          <w:rFonts w:cstheme="minorHAnsi"/>
          <w:sz w:val="24"/>
          <w:szCs w:val="24"/>
        </w:rPr>
        <w:t xml:space="preserve"> subgroup (high-risk breed / </w:t>
      </w:r>
      <w:r>
        <w:rPr>
          <w:rFonts w:cstheme="minorHAnsi"/>
          <w:sz w:val="24"/>
          <w:szCs w:val="24"/>
        </w:rPr>
        <w:t>low-risk</w:t>
      </w:r>
      <w:r w:rsidRPr="00AB4F67">
        <w:rPr>
          <w:rFonts w:cstheme="minorHAnsi"/>
          <w:sz w:val="24"/>
          <w:szCs w:val="24"/>
        </w:rPr>
        <w:t xml:space="preserve"> breed) dividing line runs substantially orthogonal to the </w:t>
      </w:r>
      <w:proofErr w:type="spellStart"/>
      <w:r w:rsidRPr="00AB4F67">
        <w:rPr>
          <w:rFonts w:cstheme="minorHAnsi"/>
          <w:sz w:val="24"/>
          <w:szCs w:val="24"/>
        </w:rPr>
        <w:t>InvUC</w:t>
      </w:r>
      <w:proofErr w:type="spellEnd"/>
      <w:r w:rsidRPr="00AB4F67">
        <w:rPr>
          <w:rFonts w:cstheme="minorHAnsi"/>
          <w:sz w:val="24"/>
          <w:szCs w:val="24"/>
        </w:rPr>
        <w:t xml:space="preserve"> / normal dividing line, 4,-4 </w:t>
      </w:r>
      <w:proofErr w:type="spellStart"/>
      <w:r w:rsidRPr="00AB4F67">
        <w:rPr>
          <w:rFonts w:cstheme="minorHAnsi"/>
          <w:sz w:val="24"/>
          <w:szCs w:val="24"/>
        </w:rPr>
        <w:t>to</w:t>
      </w:r>
      <w:proofErr w:type="spellEnd"/>
      <w:r w:rsidRPr="00AB4F67">
        <w:rPr>
          <w:rFonts w:cstheme="minorHAnsi"/>
          <w:sz w:val="24"/>
          <w:szCs w:val="24"/>
        </w:rPr>
        <w:t xml:space="preserve"> -8,4. In B, the PCA loading plot (PC1 vs. PC3) substantially distinguishes disease state</w:t>
      </w:r>
      <w:r>
        <w:rPr>
          <w:rFonts w:cstheme="minorHAnsi"/>
          <w:sz w:val="24"/>
          <w:szCs w:val="24"/>
        </w:rPr>
        <w:t xml:space="preserve"> (tumor </w:t>
      </w:r>
      <w:proofErr w:type="spellStart"/>
      <w:r>
        <w:rPr>
          <w:rFonts w:cstheme="minorHAnsi"/>
          <w:sz w:val="24"/>
          <w:szCs w:val="24"/>
        </w:rPr>
        <w:t>vs</w:t>
      </w:r>
      <w:proofErr w:type="spellEnd"/>
      <w:r>
        <w:rPr>
          <w:rFonts w:cstheme="minorHAnsi"/>
          <w:sz w:val="24"/>
          <w:szCs w:val="24"/>
        </w:rPr>
        <w:t xml:space="preserve"> normal)</w:t>
      </w:r>
      <w:r w:rsidRPr="00AB4F67">
        <w:rPr>
          <w:rFonts w:cstheme="minorHAnsi"/>
          <w:sz w:val="24"/>
          <w:szCs w:val="24"/>
        </w:rPr>
        <w:t xml:space="preserve"> based on </w:t>
      </w:r>
      <w:r w:rsidRPr="00AB4F67">
        <w:rPr>
          <w:rFonts w:cstheme="minorHAnsi"/>
          <w:i/>
          <w:sz w:val="24"/>
          <w:szCs w:val="24"/>
        </w:rPr>
        <w:t>m/z</w:t>
      </w:r>
      <w:r w:rsidRPr="00AB4F67">
        <w:rPr>
          <w:rFonts w:cstheme="minorHAnsi"/>
          <w:sz w:val="24"/>
          <w:szCs w:val="24"/>
        </w:rPr>
        <w:t xml:space="preserve"> 283.5 (shown in positive PC1 and near zero PC3 coefficients) and based on </w:t>
      </w:r>
      <w:r w:rsidRPr="00AB4F67">
        <w:rPr>
          <w:rFonts w:cstheme="minorHAnsi"/>
          <w:i/>
          <w:sz w:val="24"/>
          <w:szCs w:val="24"/>
        </w:rPr>
        <w:t>m/z</w:t>
      </w:r>
      <w:r w:rsidRPr="00AB4F67">
        <w:rPr>
          <w:rFonts w:cstheme="minorHAnsi"/>
          <w:sz w:val="24"/>
          <w:szCs w:val="24"/>
        </w:rPr>
        <w:t xml:space="preserve"> 563.5 (shown in negative PC1 and near zero PC3 coefficients). </w:t>
      </w:r>
      <w:r>
        <w:rPr>
          <w:rFonts w:cstheme="minorHAnsi"/>
          <w:sz w:val="24"/>
          <w:szCs w:val="24"/>
        </w:rPr>
        <w:t xml:space="preserve">C.  </w:t>
      </w:r>
      <w:r w:rsidRPr="003F011D">
        <w:rPr>
          <w:sz w:val="24"/>
          <w:szCs w:val="24"/>
        </w:rPr>
        <w:t>PCA score plot (PC3 vs. PC4) correlates well to distinguish samples from high</w:t>
      </w:r>
      <w:r>
        <w:rPr>
          <w:sz w:val="24"/>
          <w:szCs w:val="24"/>
        </w:rPr>
        <w:t>-</w:t>
      </w:r>
      <w:r w:rsidRPr="003F011D">
        <w:rPr>
          <w:sz w:val="24"/>
          <w:szCs w:val="24"/>
        </w:rPr>
        <w:t>risk breeds from low</w:t>
      </w:r>
      <w:r>
        <w:rPr>
          <w:sz w:val="24"/>
          <w:szCs w:val="24"/>
        </w:rPr>
        <w:t>-</w:t>
      </w:r>
      <w:r w:rsidRPr="003F011D">
        <w:rPr>
          <w:sz w:val="24"/>
          <w:szCs w:val="24"/>
        </w:rPr>
        <w:t>risk breeds.  A breed risk dividing line runs from Cartesian coordinates (-4</w:t>
      </w:r>
      <w:proofErr w:type="gramStart"/>
      <w:r w:rsidRPr="003F011D">
        <w:rPr>
          <w:sz w:val="24"/>
          <w:szCs w:val="24"/>
        </w:rPr>
        <w:t>,2.5</w:t>
      </w:r>
      <w:proofErr w:type="gramEnd"/>
      <w:r w:rsidRPr="003F011D">
        <w:rPr>
          <w:sz w:val="24"/>
          <w:szCs w:val="24"/>
        </w:rPr>
        <w:t>) to (2,-3).</w:t>
      </w:r>
      <w:r>
        <w:rPr>
          <w:sz w:val="24"/>
          <w:szCs w:val="24"/>
        </w:rPr>
        <w:t xml:space="preserve"> D. </w:t>
      </w:r>
      <w:r w:rsidRPr="003F011D">
        <w:rPr>
          <w:sz w:val="24"/>
          <w:szCs w:val="24"/>
        </w:rPr>
        <w:t xml:space="preserve">PCA loading plot (PC3 vs. PC4) distinguishes </w:t>
      </w:r>
      <w:r>
        <w:rPr>
          <w:sz w:val="24"/>
          <w:szCs w:val="24"/>
        </w:rPr>
        <w:t xml:space="preserve">high-risk breed </w:t>
      </w:r>
      <w:proofErr w:type="spellStart"/>
      <w:r w:rsidRPr="00D7428C">
        <w:rPr>
          <w:sz w:val="24"/>
          <w:szCs w:val="24"/>
        </w:rPr>
        <w:t>InvUC</w:t>
      </w:r>
      <w:proofErr w:type="spellEnd"/>
      <w:r w:rsidRPr="00D7428C">
        <w:rPr>
          <w:sz w:val="24"/>
          <w:szCs w:val="24"/>
        </w:rPr>
        <w:t xml:space="preserve"> from low-risk breed </w:t>
      </w:r>
      <w:proofErr w:type="spellStart"/>
      <w:r w:rsidRPr="00D7428C">
        <w:rPr>
          <w:sz w:val="24"/>
          <w:szCs w:val="24"/>
        </w:rPr>
        <w:t>InvUC</w:t>
      </w:r>
      <w:proofErr w:type="spellEnd"/>
      <w:r w:rsidRPr="00D7428C">
        <w:rPr>
          <w:sz w:val="24"/>
          <w:szCs w:val="24"/>
        </w:rPr>
        <w:t xml:space="preserve"> based on </w:t>
      </w:r>
      <w:r w:rsidRPr="00D7428C">
        <w:rPr>
          <w:i/>
          <w:sz w:val="24"/>
          <w:szCs w:val="24"/>
        </w:rPr>
        <w:t>m/z</w:t>
      </w:r>
      <w:r w:rsidRPr="00D7428C">
        <w:rPr>
          <w:sz w:val="24"/>
          <w:szCs w:val="24"/>
        </w:rPr>
        <w:t xml:space="preserve"> 281.5 (shown in positive PC3 and positive PC4</w:t>
      </w:r>
      <w:r w:rsidRPr="003F011D">
        <w:rPr>
          <w:sz w:val="24"/>
          <w:szCs w:val="24"/>
        </w:rPr>
        <w:t xml:space="preserve"> coefficients) and on </w:t>
      </w:r>
      <w:r w:rsidRPr="003F011D">
        <w:rPr>
          <w:i/>
          <w:sz w:val="24"/>
          <w:szCs w:val="24"/>
        </w:rPr>
        <w:t>m/z</w:t>
      </w:r>
      <w:r w:rsidRPr="003F011D">
        <w:rPr>
          <w:sz w:val="24"/>
          <w:szCs w:val="24"/>
        </w:rPr>
        <w:t xml:space="preserve"> 563 (shown in positive PC3 and negative to near zero PC4 coefficients).  </w:t>
      </w:r>
    </w:p>
    <w:p w:rsidR="007F7191" w:rsidRDefault="007F7191" w:rsidP="007F7191">
      <w:pPr>
        <w:spacing w:line="480" w:lineRule="auto"/>
        <w:ind w:left="720" w:hanging="720"/>
        <w:rPr>
          <w:rFonts w:cstheme="minorHAnsi"/>
          <w:b/>
          <w:sz w:val="24"/>
          <w:szCs w:val="24"/>
        </w:rPr>
      </w:pPr>
    </w:p>
    <w:p w:rsidR="007F7191" w:rsidRDefault="007F7191" w:rsidP="007F7191">
      <w:pPr>
        <w:spacing w:line="480" w:lineRule="auto"/>
        <w:ind w:left="720" w:hanging="720"/>
        <w:rPr>
          <w:rFonts w:cstheme="minorHAnsi"/>
          <w:b/>
          <w:sz w:val="24"/>
          <w:szCs w:val="24"/>
        </w:rPr>
      </w:pPr>
    </w:p>
    <w:p w:rsidR="007F7191" w:rsidRDefault="007F7191" w:rsidP="007F7191">
      <w:pPr>
        <w:spacing w:line="480" w:lineRule="auto"/>
        <w:ind w:left="720" w:hanging="720"/>
        <w:rPr>
          <w:rFonts w:cstheme="minorHAnsi"/>
          <w:b/>
          <w:sz w:val="24"/>
          <w:szCs w:val="24"/>
        </w:rPr>
      </w:pPr>
    </w:p>
    <w:p w:rsidR="007F7191" w:rsidRPr="00AB4F67" w:rsidRDefault="007F7191" w:rsidP="007F7191">
      <w:pPr>
        <w:spacing w:line="480" w:lineRule="auto"/>
        <w:ind w:left="720" w:hanging="720"/>
        <w:rPr>
          <w:rFonts w:cstheme="minorHAnsi"/>
          <w:b/>
          <w:sz w:val="24"/>
          <w:szCs w:val="24"/>
        </w:rPr>
      </w:pPr>
    </w:p>
    <w:p w:rsidR="00546A4E" w:rsidRDefault="00546A4E"/>
    <w:sectPr w:rsidR="00546A4E" w:rsidSect="00A0757E">
      <w:footerReference w:type="default" r:id="rId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7191" w:rsidRDefault="007F7191" w:rsidP="007F7191">
      <w:pPr>
        <w:spacing w:after="0" w:line="240" w:lineRule="auto"/>
      </w:pPr>
      <w:r>
        <w:separator/>
      </w:r>
    </w:p>
  </w:endnote>
  <w:endnote w:type="continuationSeparator" w:id="1">
    <w:p w:rsidR="007F7191" w:rsidRDefault="007F7191" w:rsidP="007F71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altName w:val="Times New Roman"/>
    <w:panose1 w:val="00000000000000000000"/>
    <w:charset w:val="00"/>
    <w:family w:val="roman"/>
    <w:notTrueType/>
    <w:pitch w:val="default"/>
    <w:sig w:usb0="00000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433" w:rsidRPr="0085755F" w:rsidRDefault="007F7191">
    <w:pPr>
      <w:pStyle w:val="Footer"/>
      <w:tabs>
        <w:tab w:val="clear" w:pos="4680"/>
        <w:tab w:val="clear" w:pos="9360"/>
      </w:tabs>
      <w:jc w:val="center"/>
      <w:rPr>
        <w:caps/>
        <w:noProof/>
      </w:rPr>
    </w:pPr>
    <w:r w:rsidRPr="0085755F">
      <w:rPr>
        <w:caps/>
      </w:rPr>
      <w:fldChar w:fldCharType="begin"/>
    </w:r>
    <w:r w:rsidRPr="0085755F">
      <w:rPr>
        <w:caps/>
      </w:rPr>
      <w:instrText xml:space="preserve"> PAGE   \* MERGEFORMAT </w:instrText>
    </w:r>
    <w:r w:rsidRPr="0085755F">
      <w:rPr>
        <w:caps/>
      </w:rPr>
      <w:fldChar w:fldCharType="separate"/>
    </w:r>
    <w:r>
      <w:rPr>
        <w:caps/>
        <w:noProof/>
      </w:rPr>
      <w:t>12</w:t>
    </w:r>
    <w:r w:rsidRPr="0085755F">
      <w:rPr>
        <w:caps/>
        <w:noProof/>
      </w:rPr>
      <w:fldChar w:fldCharType="end"/>
    </w:r>
  </w:p>
  <w:p w:rsidR="002D4433" w:rsidRDefault="007F719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7191" w:rsidRDefault="007F7191" w:rsidP="007F7191">
      <w:pPr>
        <w:spacing w:after="0" w:line="240" w:lineRule="auto"/>
      </w:pPr>
      <w:r>
        <w:separator/>
      </w:r>
    </w:p>
  </w:footnote>
  <w:footnote w:type="continuationSeparator" w:id="1">
    <w:p w:rsidR="007F7191" w:rsidRDefault="007F7191" w:rsidP="007F7191">
      <w:pPr>
        <w:spacing w:after="0" w:line="240" w:lineRule="auto"/>
      </w:pPr>
      <w:r>
        <w:continuationSeparator/>
      </w:r>
    </w:p>
  </w:footnote>
  <w:footnote w:id="2">
    <w:p w:rsidR="007F7191" w:rsidRDefault="007F7191" w:rsidP="007F7191">
      <w:pPr>
        <w:pStyle w:val="FootnoteText"/>
      </w:pPr>
      <w:r>
        <w:rPr>
          <w:rStyle w:val="FootnoteReference"/>
        </w:rPr>
        <w:footnoteRef/>
      </w:r>
      <w:r w:rsidRPr="006D71CC">
        <w:rPr>
          <w:sz w:val="16"/>
          <w:szCs w:val="16"/>
        </w:rPr>
        <w:t xml:space="preserve">Selected </w:t>
      </w:r>
      <w:r w:rsidRPr="006D71CC">
        <w:rPr>
          <w:i/>
          <w:sz w:val="16"/>
          <w:szCs w:val="16"/>
        </w:rPr>
        <w:t xml:space="preserve">m/z </w:t>
      </w:r>
      <w:r w:rsidRPr="006D71CC">
        <w:rPr>
          <w:sz w:val="16"/>
          <w:szCs w:val="16"/>
        </w:rPr>
        <w:t xml:space="preserve">values included 252 – 258, 262 – 268, 277 – 286, 294 – 300, 301 – 314, 322 – 328, 336 – 342, 532 – 542, 557 – 568, 580 – 590, 604 – 610, 726 – 734, 750 – 762, 770 – 776, 785 – 791, 807 – 816, 835 – 847, 860 – 866, and 882 </w:t>
      </w:r>
      <w:r>
        <w:rPr>
          <w:sz w:val="16"/>
          <w:szCs w:val="16"/>
        </w:rPr>
        <w:t>–</w:t>
      </w:r>
      <w:r w:rsidRPr="006D71CC">
        <w:rPr>
          <w:sz w:val="16"/>
          <w:szCs w:val="16"/>
        </w:rPr>
        <w:t xml:space="preserve"> 888</w:t>
      </w:r>
      <w:r>
        <w:rPr>
          <w:sz w:val="16"/>
          <w:szCs w:val="16"/>
        </w:rPr>
        <w:t>.</w:t>
      </w:r>
    </w:p>
  </w:footnote>
  <w:footnote w:id="3">
    <w:p w:rsidR="007F7191" w:rsidRDefault="007F7191" w:rsidP="007F7191">
      <w:pPr>
        <w:pStyle w:val="FootnoteText"/>
      </w:pPr>
      <w:r>
        <w:rPr>
          <w:rStyle w:val="FootnoteReference"/>
        </w:rPr>
        <w:footnoteRef/>
      </w:r>
      <w:r w:rsidRPr="006D71CC">
        <w:rPr>
          <w:sz w:val="16"/>
          <w:szCs w:val="16"/>
        </w:rPr>
        <w:t xml:space="preserve">Selected </w:t>
      </w:r>
      <w:r w:rsidRPr="006D71CC">
        <w:rPr>
          <w:i/>
          <w:sz w:val="16"/>
          <w:szCs w:val="16"/>
        </w:rPr>
        <w:t xml:space="preserve">m/z </w:t>
      </w:r>
      <w:r w:rsidRPr="006D71CC">
        <w:rPr>
          <w:sz w:val="16"/>
          <w:szCs w:val="16"/>
        </w:rPr>
        <w:t xml:space="preserve">values included 252 – 258, 262 – 268, 277 – 286, 294 – 300, 301 – 314, 322 – 328, 336 – 342, 532 – 542, 557 – 568, 580 – 590, 604 – 610, 726 – 734, 750 – 762, 770 – 776, 785 – 791, 807 – 816, 835 – 847, 860 – 866, and 882 </w:t>
      </w:r>
      <w:r>
        <w:rPr>
          <w:sz w:val="16"/>
          <w:szCs w:val="16"/>
        </w:rPr>
        <w:t>–</w:t>
      </w:r>
      <w:r w:rsidRPr="006D71CC">
        <w:rPr>
          <w:sz w:val="16"/>
          <w:szCs w:val="16"/>
        </w:rPr>
        <w:t xml:space="preserve"> 888</w:t>
      </w:r>
      <w:r>
        <w:rPr>
          <w:sz w:val="16"/>
          <w:szCs w:val="16"/>
        </w:rPr>
        <w:t>.</w:t>
      </w:r>
    </w:p>
  </w:footnote>
  <w:footnote w:id="4">
    <w:p w:rsidR="007F7191" w:rsidRDefault="007F7191" w:rsidP="007F7191">
      <w:pPr>
        <w:pStyle w:val="FootnoteText"/>
      </w:pPr>
      <w:r>
        <w:rPr>
          <w:rStyle w:val="FootnoteReference"/>
        </w:rPr>
        <w:footnoteRef/>
      </w:r>
      <w:r w:rsidRPr="006D71CC">
        <w:rPr>
          <w:sz w:val="16"/>
          <w:szCs w:val="16"/>
        </w:rPr>
        <w:t xml:space="preserve">Selected </w:t>
      </w:r>
      <w:r w:rsidRPr="006D71CC">
        <w:rPr>
          <w:i/>
          <w:sz w:val="16"/>
          <w:szCs w:val="16"/>
        </w:rPr>
        <w:t xml:space="preserve">m/z </w:t>
      </w:r>
      <w:r w:rsidRPr="006D71CC">
        <w:rPr>
          <w:sz w:val="16"/>
          <w:szCs w:val="16"/>
        </w:rPr>
        <w:t xml:space="preserve">values included 252 – 258, 262 – 268, 277 – 286, 294 – 300, 301 – 314, 322 – 328, 336 – 342, 532 – 542, 557 – 568, 580 – 590, 604 – 610, 726 – 734, 750 – 762, 770 – 776, 785 – 791, 807 – 816, 835 – 847, 860 – 866, and 882 </w:t>
      </w:r>
      <w:r>
        <w:rPr>
          <w:sz w:val="16"/>
          <w:szCs w:val="16"/>
        </w:rPr>
        <w:t>–</w:t>
      </w:r>
      <w:r w:rsidRPr="006D71CC">
        <w:rPr>
          <w:sz w:val="16"/>
          <w:szCs w:val="16"/>
        </w:rPr>
        <w:t xml:space="preserve"> 888</w:t>
      </w:r>
      <w:r>
        <w:rPr>
          <w:sz w:val="16"/>
          <w:szCs w:val="16"/>
        </w:rPr>
        <w:t>.</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footnotePr>
    <w:footnote w:id="0"/>
    <w:footnote w:id="1"/>
  </w:footnotePr>
  <w:endnotePr>
    <w:endnote w:id="0"/>
    <w:endnote w:id="1"/>
  </w:endnotePr>
  <w:compat/>
  <w:rsids>
    <w:rsidRoot w:val="007F7191"/>
    <w:rsid w:val="00546A4E"/>
    <w:rsid w:val="007F71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7191"/>
    <w:rPr>
      <w:rFonts w:eastAsiaTheme="minorEastAsia"/>
    </w:rPr>
  </w:style>
  <w:style w:type="paragraph" w:styleId="Heading1">
    <w:name w:val="heading 1"/>
    <w:basedOn w:val="Normal"/>
    <w:next w:val="Normal"/>
    <w:link w:val="Heading1Char"/>
    <w:uiPriority w:val="9"/>
    <w:qFormat/>
    <w:rsid w:val="007F71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F719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719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F7191"/>
    <w:rPr>
      <w:rFonts w:asciiTheme="majorHAnsi" w:eastAsiaTheme="majorEastAsia" w:hAnsiTheme="majorHAnsi" w:cstheme="majorBidi"/>
      <w:color w:val="365F91" w:themeColor="accent1" w:themeShade="BF"/>
      <w:sz w:val="26"/>
      <w:szCs w:val="26"/>
    </w:rPr>
  </w:style>
  <w:style w:type="paragraph" w:styleId="Footer">
    <w:name w:val="footer"/>
    <w:basedOn w:val="Normal"/>
    <w:link w:val="FooterChar"/>
    <w:uiPriority w:val="99"/>
    <w:unhideWhenUsed/>
    <w:rsid w:val="007F71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191"/>
    <w:rPr>
      <w:rFonts w:eastAsiaTheme="minorEastAsia"/>
    </w:rPr>
  </w:style>
  <w:style w:type="paragraph" w:styleId="FootnoteText">
    <w:name w:val="footnote text"/>
    <w:basedOn w:val="Normal"/>
    <w:link w:val="FootnoteTextChar"/>
    <w:uiPriority w:val="99"/>
    <w:unhideWhenUsed/>
    <w:rsid w:val="007F7191"/>
    <w:pPr>
      <w:spacing w:after="0" w:line="240" w:lineRule="auto"/>
    </w:pPr>
    <w:rPr>
      <w:sz w:val="20"/>
      <w:szCs w:val="20"/>
    </w:rPr>
  </w:style>
  <w:style w:type="character" w:customStyle="1" w:styleId="FootnoteTextChar">
    <w:name w:val="Footnote Text Char"/>
    <w:basedOn w:val="DefaultParagraphFont"/>
    <w:link w:val="FootnoteText"/>
    <w:uiPriority w:val="99"/>
    <w:rsid w:val="007F7191"/>
    <w:rPr>
      <w:rFonts w:eastAsiaTheme="minorEastAsia"/>
      <w:sz w:val="20"/>
      <w:szCs w:val="20"/>
    </w:rPr>
  </w:style>
  <w:style w:type="character" w:styleId="FootnoteReference">
    <w:name w:val="footnote reference"/>
    <w:basedOn w:val="DefaultParagraphFont"/>
    <w:uiPriority w:val="99"/>
    <w:semiHidden/>
    <w:unhideWhenUsed/>
    <w:rsid w:val="007F7191"/>
    <w:rPr>
      <w:vertAlign w:val="superscript"/>
    </w:rPr>
  </w:style>
  <w:style w:type="paragraph" w:styleId="Caption">
    <w:name w:val="caption"/>
    <w:basedOn w:val="Normal"/>
    <w:next w:val="Normal"/>
    <w:uiPriority w:val="35"/>
    <w:unhideWhenUsed/>
    <w:qFormat/>
    <w:rsid w:val="007F7191"/>
    <w:pPr>
      <w:spacing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7F71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191"/>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chart" Target="charts/chart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image" Target="media/image9.emf"/><Relationship Id="rId10" Type="http://schemas.openxmlformats.org/officeDocument/2006/relationships/image" Target="media/image5.tif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oleObject" Target="file:///D:\Users\Cedric\Documents\Purdue\DESI\Dog%20Bladder\Fall%202015\Binned%20283%20and%20563%20for%20Origin.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Users\Cedric\Documents\Purdue\DESI\Dog%20Bladder\Fall%202015\Binned%20283%20and%20563%20for%20Origin.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nl-NL" sz="1400" b="0" i="0" u="none" strike="noStrike" kern="1200" spc="0" baseline="0">
                <a:solidFill>
                  <a:schemeClr val="tx1">
                    <a:lumMod val="65000"/>
                    <a:lumOff val="35000"/>
                  </a:schemeClr>
                </a:solidFill>
                <a:latin typeface="+mn-lt"/>
                <a:ea typeface="+mn-ea"/>
                <a:cs typeface="+mn-cs"/>
              </a:defRPr>
            </a:pPr>
            <a:r>
              <a:rPr lang="en-US" sz="1200"/>
              <a:t>TS-MS averaged </a:t>
            </a:r>
            <a:r>
              <a:rPr lang="en-US" sz="1200" b="0" i="0" u="none" strike="noStrike" kern="1200" spc="0" baseline="0">
                <a:solidFill>
                  <a:sysClr val="windowText" lastClr="000000">
                    <a:lumMod val="65000"/>
                    <a:lumOff val="35000"/>
                  </a:sysClr>
                </a:solidFill>
                <a:latin typeface="+mn-lt"/>
                <a:ea typeface="+mn-ea"/>
                <a:cs typeface="+mn-cs"/>
              </a:rPr>
              <a:t>InvUC</a:t>
            </a:r>
            <a:r>
              <a:rPr lang="en-US" sz="1200"/>
              <a:t> and normal urothelial</a:t>
            </a:r>
            <a:r>
              <a:rPr lang="en-US" sz="1200" baseline="0"/>
              <a:t> </a:t>
            </a:r>
            <a:r>
              <a:rPr lang="en-US" sz="1200"/>
              <a:t>touch</a:t>
            </a:r>
            <a:r>
              <a:rPr lang="en-US" sz="1200" baseline="0"/>
              <a:t> scans</a:t>
            </a:r>
            <a:r>
              <a:rPr lang="en-US" sz="1200"/>
              <a:t> </a:t>
            </a:r>
          </a:p>
        </c:rich>
      </c:tx>
      <c:layout/>
      <c:spPr>
        <a:noFill/>
        <a:ln>
          <a:noFill/>
        </a:ln>
        <a:effectLst/>
      </c:spPr>
    </c:title>
    <c:plotArea>
      <c:layout/>
      <c:lineChart>
        <c:grouping val="standard"/>
        <c:ser>
          <c:idx val="0"/>
          <c:order val="0"/>
          <c:tx>
            <c:v>Averaged TCC</c:v>
          </c:tx>
          <c:spPr>
            <a:ln w="28575" cap="rnd">
              <a:solidFill>
                <a:srgbClr val="FF0000"/>
              </a:solidFill>
              <a:round/>
            </a:ln>
            <a:effectLst/>
          </c:spPr>
          <c:marker>
            <c:symbol val="none"/>
          </c:marker>
          <c:cat>
            <c:numRef>
              <c:f>'neat only TCC &amp; Normal binned'!$B$124:$B$256</c:f>
              <c:numCache>
                <c:formatCode>General</c:formatCode>
                <c:ptCount val="133"/>
                <c:pt idx="0">
                  <c:v>557.00001099999997</c:v>
                </c:pt>
                <c:pt idx="1">
                  <c:v>557.08334400000035</c:v>
                </c:pt>
                <c:pt idx="2">
                  <c:v>557.16667699999971</c:v>
                </c:pt>
                <c:pt idx="3">
                  <c:v>557.25001099999997</c:v>
                </c:pt>
                <c:pt idx="4">
                  <c:v>557.33334400000001</c:v>
                </c:pt>
                <c:pt idx="5">
                  <c:v>557.41667699999971</c:v>
                </c:pt>
                <c:pt idx="6">
                  <c:v>557.50001099999997</c:v>
                </c:pt>
                <c:pt idx="7">
                  <c:v>557.58334400000035</c:v>
                </c:pt>
                <c:pt idx="8">
                  <c:v>557.66667699999971</c:v>
                </c:pt>
                <c:pt idx="9">
                  <c:v>557.75001099999997</c:v>
                </c:pt>
                <c:pt idx="10">
                  <c:v>557.83334400000001</c:v>
                </c:pt>
                <c:pt idx="11">
                  <c:v>557.91667699999971</c:v>
                </c:pt>
                <c:pt idx="12">
                  <c:v>558.00001099999997</c:v>
                </c:pt>
                <c:pt idx="13">
                  <c:v>558.08334400000035</c:v>
                </c:pt>
                <c:pt idx="14">
                  <c:v>558.16667699999971</c:v>
                </c:pt>
                <c:pt idx="15">
                  <c:v>558.25001099999997</c:v>
                </c:pt>
                <c:pt idx="16">
                  <c:v>558.33334400000001</c:v>
                </c:pt>
                <c:pt idx="17">
                  <c:v>558.41667699999971</c:v>
                </c:pt>
                <c:pt idx="18">
                  <c:v>558.50001099999997</c:v>
                </c:pt>
                <c:pt idx="19">
                  <c:v>558.58334400000035</c:v>
                </c:pt>
                <c:pt idx="20">
                  <c:v>558.66667699999971</c:v>
                </c:pt>
                <c:pt idx="21">
                  <c:v>558.75001099999997</c:v>
                </c:pt>
                <c:pt idx="22">
                  <c:v>558.83334400000001</c:v>
                </c:pt>
                <c:pt idx="23">
                  <c:v>558.91667699999971</c:v>
                </c:pt>
                <c:pt idx="24">
                  <c:v>559.00001099999997</c:v>
                </c:pt>
                <c:pt idx="25">
                  <c:v>559.08334400000035</c:v>
                </c:pt>
                <c:pt idx="26">
                  <c:v>559.16667699999971</c:v>
                </c:pt>
                <c:pt idx="27">
                  <c:v>559.25001099999997</c:v>
                </c:pt>
                <c:pt idx="28">
                  <c:v>559.33334400000001</c:v>
                </c:pt>
                <c:pt idx="29">
                  <c:v>559.41667699999971</c:v>
                </c:pt>
                <c:pt idx="30">
                  <c:v>559.50001099999997</c:v>
                </c:pt>
                <c:pt idx="31">
                  <c:v>559.58334400000035</c:v>
                </c:pt>
                <c:pt idx="32">
                  <c:v>559.66667699999971</c:v>
                </c:pt>
                <c:pt idx="33">
                  <c:v>559.75001099999997</c:v>
                </c:pt>
                <c:pt idx="34">
                  <c:v>559.83334400000001</c:v>
                </c:pt>
                <c:pt idx="35">
                  <c:v>559.91667699999971</c:v>
                </c:pt>
                <c:pt idx="36">
                  <c:v>560.00001099999997</c:v>
                </c:pt>
                <c:pt idx="37">
                  <c:v>560.08334400000035</c:v>
                </c:pt>
                <c:pt idx="38">
                  <c:v>560.16667699999971</c:v>
                </c:pt>
                <c:pt idx="39">
                  <c:v>560.25001099999997</c:v>
                </c:pt>
                <c:pt idx="40">
                  <c:v>560.33334400000001</c:v>
                </c:pt>
                <c:pt idx="41">
                  <c:v>560.41667699999971</c:v>
                </c:pt>
                <c:pt idx="42">
                  <c:v>560.50001099999997</c:v>
                </c:pt>
                <c:pt idx="43">
                  <c:v>560.58334400000035</c:v>
                </c:pt>
                <c:pt idx="44">
                  <c:v>560.66667699999971</c:v>
                </c:pt>
                <c:pt idx="45">
                  <c:v>560.75001099999997</c:v>
                </c:pt>
                <c:pt idx="46">
                  <c:v>560.83334400000001</c:v>
                </c:pt>
                <c:pt idx="47">
                  <c:v>560.91667699999971</c:v>
                </c:pt>
                <c:pt idx="48">
                  <c:v>561.00001099999997</c:v>
                </c:pt>
                <c:pt idx="49">
                  <c:v>561.08334400000035</c:v>
                </c:pt>
                <c:pt idx="50">
                  <c:v>561.16667699999971</c:v>
                </c:pt>
                <c:pt idx="51">
                  <c:v>561.25001099999997</c:v>
                </c:pt>
                <c:pt idx="52">
                  <c:v>561.33334400000001</c:v>
                </c:pt>
                <c:pt idx="53">
                  <c:v>561.41667699999971</c:v>
                </c:pt>
                <c:pt idx="54">
                  <c:v>561.50001099999997</c:v>
                </c:pt>
                <c:pt idx="55">
                  <c:v>561.58334400000035</c:v>
                </c:pt>
                <c:pt idx="56">
                  <c:v>561.66667699999971</c:v>
                </c:pt>
                <c:pt idx="57">
                  <c:v>561.75001099999997</c:v>
                </c:pt>
                <c:pt idx="58">
                  <c:v>561.83334400000001</c:v>
                </c:pt>
                <c:pt idx="59">
                  <c:v>561.91667699999971</c:v>
                </c:pt>
                <c:pt idx="60">
                  <c:v>562.00001099999997</c:v>
                </c:pt>
                <c:pt idx="61">
                  <c:v>562.08334400000035</c:v>
                </c:pt>
                <c:pt idx="62">
                  <c:v>562.16667699999971</c:v>
                </c:pt>
                <c:pt idx="63">
                  <c:v>562.25001099999997</c:v>
                </c:pt>
                <c:pt idx="64">
                  <c:v>562.33334400000001</c:v>
                </c:pt>
                <c:pt idx="65">
                  <c:v>562.41667699999971</c:v>
                </c:pt>
                <c:pt idx="66">
                  <c:v>562.50001099999997</c:v>
                </c:pt>
                <c:pt idx="67">
                  <c:v>562.58334400000035</c:v>
                </c:pt>
                <c:pt idx="68">
                  <c:v>562.66667699999971</c:v>
                </c:pt>
                <c:pt idx="69">
                  <c:v>562.75001099999997</c:v>
                </c:pt>
                <c:pt idx="70">
                  <c:v>562.83334400000001</c:v>
                </c:pt>
                <c:pt idx="71">
                  <c:v>562.91667699999971</c:v>
                </c:pt>
                <c:pt idx="72">
                  <c:v>563.00001099999997</c:v>
                </c:pt>
                <c:pt idx="73">
                  <c:v>563.08334400000035</c:v>
                </c:pt>
                <c:pt idx="74">
                  <c:v>563.16667699999971</c:v>
                </c:pt>
                <c:pt idx="75">
                  <c:v>563.25001099999997</c:v>
                </c:pt>
                <c:pt idx="76">
                  <c:v>563.33334400000001</c:v>
                </c:pt>
                <c:pt idx="77">
                  <c:v>563.41667699999971</c:v>
                </c:pt>
                <c:pt idx="78">
                  <c:v>563.50001099999997</c:v>
                </c:pt>
                <c:pt idx="79">
                  <c:v>563.58334400000035</c:v>
                </c:pt>
                <c:pt idx="80">
                  <c:v>563.66667799999971</c:v>
                </c:pt>
                <c:pt idx="81">
                  <c:v>563.75001099999997</c:v>
                </c:pt>
                <c:pt idx="82">
                  <c:v>563.83334400000001</c:v>
                </c:pt>
                <c:pt idx="83">
                  <c:v>563.91667799999971</c:v>
                </c:pt>
                <c:pt idx="84">
                  <c:v>564.00001099999997</c:v>
                </c:pt>
                <c:pt idx="85">
                  <c:v>564.08334400000035</c:v>
                </c:pt>
                <c:pt idx="86">
                  <c:v>564.16667799999971</c:v>
                </c:pt>
                <c:pt idx="87">
                  <c:v>564.25001099999997</c:v>
                </c:pt>
                <c:pt idx="88">
                  <c:v>564.33334400000001</c:v>
                </c:pt>
                <c:pt idx="89">
                  <c:v>564.41667799999971</c:v>
                </c:pt>
                <c:pt idx="90">
                  <c:v>564.50001099999997</c:v>
                </c:pt>
                <c:pt idx="91">
                  <c:v>564.58334400000035</c:v>
                </c:pt>
                <c:pt idx="92">
                  <c:v>564.66667799999971</c:v>
                </c:pt>
                <c:pt idx="93">
                  <c:v>564.75001099999997</c:v>
                </c:pt>
                <c:pt idx="94">
                  <c:v>564.83334400000001</c:v>
                </c:pt>
                <c:pt idx="95">
                  <c:v>564.91667799999971</c:v>
                </c:pt>
                <c:pt idx="96">
                  <c:v>565.00001099999997</c:v>
                </c:pt>
                <c:pt idx="97">
                  <c:v>565.08334400000035</c:v>
                </c:pt>
                <c:pt idx="98">
                  <c:v>565.16667799999971</c:v>
                </c:pt>
                <c:pt idx="99">
                  <c:v>565.25001099999997</c:v>
                </c:pt>
                <c:pt idx="100">
                  <c:v>565.33334400000001</c:v>
                </c:pt>
                <c:pt idx="101">
                  <c:v>565.41667799999971</c:v>
                </c:pt>
                <c:pt idx="102">
                  <c:v>565.50001099999997</c:v>
                </c:pt>
                <c:pt idx="103">
                  <c:v>565.58334400000035</c:v>
                </c:pt>
                <c:pt idx="104">
                  <c:v>565.66667799999971</c:v>
                </c:pt>
                <c:pt idx="105">
                  <c:v>565.75001099999997</c:v>
                </c:pt>
                <c:pt idx="106">
                  <c:v>565.83334400000001</c:v>
                </c:pt>
                <c:pt idx="107">
                  <c:v>565.91667799999971</c:v>
                </c:pt>
                <c:pt idx="108">
                  <c:v>566.00001099999997</c:v>
                </c:pt>
                <c:pt idx="109">
                  <c:v>566.08334400000035</c:v>
                </c:pt>
                <c:pt idx="110">
                  <c:v>566.16667799999971</c:v>
                </c:pt>
                <c:pt idx="111">
                  <c:v>566.25001099999997</c:v>
                </c:pt>
                <c:pt idx="112">
                  <c:v>566.33334400000001</c:v>
                </c:pt>
                <c:pt idx="113">
                  <c:v>566.41667799999971</c:v>
                </c:pt>
                <c:pt idx="114">
                  <c:v>566.50001099999997</c:v>
                </c:pt>
                <c:pt idx="115">
                  <c:v>566.58334400000035</c:v>
                </c:pt>
                <c:pt idx="116">
                  <c:v>566.66667799999971</c:v>
                </c:pt>
                <c:pt idx="117">
                  <c:v>566.75001099999997</c:v>
                </c:pt>
                <c:pt idx="118">
                  <c:v>566.83334400000001</c:v>
                </c:pt>
                <c:pt idx="119">
                  <c:v>566.91667799999971</c:v>
                </c:pt>
                <c:pt idx="120">
                  <c:v>567.00001099999997</c:v>
                </c:pt>
                <c:pt idx="121">
                  <c:v>567.08334400000035</c:v>
                </c:pt>
                <c:pt idx="122">
                  <c:v>567.16667799999971</c:v>
                </c:pt>
                <c:pt idx="123">
                  <c:v>567.25001099999997</c:v>
                </c:pt>
                <c:pt idx="124">
                  <c:v>567.33334400000001</c:v>
                </c:pt>
                <c:pt idx="125">
                  <c:v>567.41667799999971</c:v>
                </c:pt>
                <c:pt idx="126">
                  <c:v>567.50001099999997</c:v>
                </c:pt>
                <c:pt idx="127">
                  <c:v>567.58334400000035</c:v>
                </c:pt>
                <c:pt idx="128">
                  <c:v>567.66667799999971</c:v>
                </c:pt>
                <c:pt idx="129">
                  <c:v>567.75001099999997</c:v>
                </c:pt>
                <c:pt idx="130">
                  <c:v>567.83334400000001</c:v>
                </c:pt>
                <c:pt idx="131">
                  <c:v>567.91667799999971</c:v>
                </c:pt>
                <c:pt idx="132">
                  <c:v>568.00001099999997</c:v>
                </c:pt>
              </c:numCache>
            </c:numRef>
          </c:cat>
          <c:val>
            <c:numRef>
              <c:f>'neat only TCC &amp; Normal binned'!$DA$124:$DA$256</c:f>
              <c:numCache>
                <c:formatCode>General</c:formatCode>
                <c:ptCount val="133"/>
                <c:pt idx="0">
                  <c:v>323.80224151000016</c:v>
                </c:pt>
                <c:pt idx="1">
                  <c:v>333.96769993999993</c:v>
                </c:pt>
                <c:pt idx="2">
                  <c:v>333.70889534999975</c:v>
                </c:pt>
                <c:pt idx="3">
                  <c:v>350.96863615999962</c:v>
                </c:pt>
                <c:pt idx="4">
                  <c:v>358.17389683999988</c:v>
                </c:pt>
                <c:pt idx="5">
                  <c:v>352.69900648999993</c:v>
                </c:pt>
                <c:pt idx="6">
                  <c:v>364.97315032999967</c:v>
                </c:pt>
                <c:pt idx="7">
                  <c:v>364.9055490599996</c:v>
                </c:pt>
                <c:pt idx="8">
                  <c:v>347.9804828200003</c:v>
                </c:pt>
                <c:pt idx="9">
                  <c:v>335.48663395999949</c:v>
                </c:pt>
                <c:pt idx="10">
                  <c:v>335.20603883999979</c:v>
                </c:pt>
                <c:pt idx="11">
                  <c:v>335.47684093999999</c:v>
                </c:pt>
                <c:pt idx="12">
                  <c:v>339.10082133000026</c:v>
                </c:pt>
                <c:pt idx="13">
                  <c:v>354.45262056000001</c:v>
                </c:pt>
                <c:pt idx="14">
                  <c:v>369.5195049300001</c:v>
                </c:pt>
                <c:pt idx="15">
                  <c:v>404.4794069499996</c:v>
                </c:pt>
                <c:pt idx="16">
                  <c:v>460.17735856999968</c:v>
                </c:pt>
                <c:pt idx="17">
                  <c:v>500.17891429000019</c:v>
                </c:pt>
                <c:pt idx="18">
                  <c:v>557.31914390999998</c:v>
                </c:pt>
                <c:pt idx="19">
                  <c:v>622.64995562000001</c:v>
                </c:pt>
                <c:pt idx="20">
                  <c:v>693.69334887000025</c:v>
                </c:pt>
                <c:pt idx="21">
                  <c:v>778.06103899999971</c:v>
                </c:pt>
                <c:pt idx="22">
                  <c:v>865.77750891000005</c:v>
                </c:pt>
                <c:pt idx="23">
                  <c:v>946.5996804599996</c:v>
                </c:pt>
                <c:pt idx="24">
                  <c:v>1032.4293707300001</c:v>
                </c:pt>
                <c:pt idx="25">
                  <c:v>1103.2978209599996</c:v>
                </c:pt>
                <c:pt idx="26">
                  <c:v>1144.3504378499993</c:v>
                </c:pt>
                <c:pt idx="27">
                  <c:v>1158.8643187099992</c:v>
                </c:pt>
                <c:pt idx="28">
                  <c:v>1161.4088961100001</c:v>
                </c:pt>
                <c:pt idx="29">
                  <c:v>1139.60653282</c:v>
                </c:pt>
                <c:pt idx="30">
                  <c:v>1078.6823100299991</c:v>
                </c:pt>
                <c:pt idx="31">
                  <c:v>1019.6149066900003</c:v>
                </c:pt>
                <c:pt idx="32">
                  <c:v>978.5745418300005</c:v>
                </c:pt>
                <c:pt idx="33">
                  <c:v>946.76270700999999</c:v>
                </c:pt>
                <c:pt idx="34">
                  <c:v>946.72707958000058</c:v>
                </c:pt>
                <c:pt idx="35">
                  <c:v>943.37438576000034</c:v>
                </c:pt>
                <c:pt idx="36">
                  <c:v>949.03850508000016</c:v>
                </c:pt>
                <c:pt idx="37">
                  <c:v>949.86241444999985</c:v>
                </c:pt>
                <c:pt idx="38">
                  <c:v>972.88366898000027</c:v>
                </c:pt>
                <c:pt idx="39">
                  <c:v>1001.2487200000005</c:v>
                </c:pt>
                <c:pt idx="40">
                  <c:v>1038.5580434800011</c:v>
                </c:pt>
                <c:pt idx="41">
                  <c:v>1100.3760067100002</c:v>
                </c:pt>
                <c:pt idx="42">
                  <c:v>1203.0945432299986</c:v>
                </c:pt>
                <c:pt idx="43">
                  <c:v>1343.9362416199999</c:v>
                </c:pt>
                <c:pt idx="44">
                  <c:v>1512.5781951900001</c:v>
                </c:pt>
                <c:pt idx="45">
                  <c:v>1684.6020903899996</c:v>
                </c:pt>
                <c:pt idx="46">
                  <c:v>1904.9710276999997</c:v>
                </c:pt>
                <c:pt idx="47">
                  <c:v>2132.5620932099996</c:v>
                </c:pt>
                <c:pt idx="48">
                  <c:v>2339.4415477400012</c:v>
                </c:pt>
                <c:pt idx="49">
                  <c:v>2522.1986288899998</c:v>
                </c:pt>
                <c:pt idx="50">
                  <c:v>2641.8734347400009</c:v>
                </c:pt>
                <c:pt idx="51">
                  <c:v>2700.6600140399996</c:v>
                </c:pt>
                <c:pt idx="52">
                  <c:v>2633.0376474399991</c:v>
                </c:pt>
                <c:pt idx="53">
                  <c:v>2512.3300932300017</c:v>
                </c:pt>
                <c:pt idx="54">
                  <c:v>2395.3641700800017</c:v>
                </c:pt>
                <c:pt idx="55">
                  <c:v>2269.7038592500003</c:v>
                </c:pt>
                <c:pt idx="56">
                  <c:v>2172.9497911400013</c:v>
                </c:pt>
                <c:pt idx="57">
                  <c:v>2107.2440714899985</c:v>
                </c:pt>
                <c:pt idx="58">
                  <c:v>2055.7895353599997</c:v>
                </c:pt>
                <c:pt idx="59">
                  <c:v>2053.9486641599979</c:v>
                </c:pt>
                <c:pt idx="60">
                  <c:v>2070.8535264000016</c:v>
                </c:pt>
                <c:pt idx="61">
                  <c:v>2086.3753895900009</c:v>
                </c:pt>
                <c:pt idx="62">
                  <c:v>2098.08324382</c:v>
                </c:pt>
                <c:pt idx="63">
                  <c:v>2106.3613879900022</c:v>
                </c:pt>
                <c:pt idx="64">
                  <c:v>2090.0568773099994</c:v>
                </c:pt>
                <c:pt idx="65">
                  <c:v>2119.6008590199986</c:v>
                </c:pt>
                <c:pt idx="66">
                  <c:v>2220.3539650800012</c:v>
                </c:pt>
                <c:pt idx="67">
                  <c:v>2368.6314526100009</c:v>
                </c:pt>
                <c:pt idx="68">
                  <c:v>2555.6216365700016</c:v>
                </c:pt>
                <c:pt idx="69">
                  <c:v>2797.1133683800012</c:v>
                </c:pt>
                <c:pt idx="70">
                  <c:v>3128.2298960099997</c:v>
                </c:pt>
                <c:pt idx="71">
                  <c:v>3487.0346940100017</c:v>
                </c:pt>
                <c:pt idx="72">
                  <c:v>3743.8509478800011</c:v>
                </c:pt>
                <c:pt idx="73">
                  <c:v>3980.0582709899991</c:v>
                </c:pt>
                <c:pt idx="74">
                  <c:v>4172.2443801899999</c:v>
                </c:pt>
                <c:pt idx="75">
                  <c:v>4193.3520676400003</c:v>
                </c:pt>
                <c:pt idx="76">
                  <c:v>4073.9528740399996</c:v>
                </c:pt>
                <c:pt idx="77">
                  <c:v>3859.1263477999987</c:v>
                </c:pt>
                <c:pt idx="78">
                  <c:v>3600.319918130002</c:v>
                </c:pt>
                <c:pt idx="79">
                  <c:v>3340.9065342900008</c:v>
                </c:pt>
                <c:pt idx="80">
                  <c:v>3146.7892642099987</c:v>
                </c:pt>
                <c:pt idx="81">
                  <c:v>3040.7194580000014</c:v>
                </c:pt>
                <c:pt idx="82">
                  <c:v>2964.6204005900004</c:v>
                </c:pt>
                <c:pt idx="83">
                  <c:v>2872.2757773500002</c:v>
                </c:pt>
                <c:pt idx="84">
                  <c:v>2839.1226563599998</c:v>
                </c:pt>
                <c:pt idx="85">
                  <c:v>2787.4847794799994</c:v>
                </c:pt>
                <c:pt idx="86">
                  <c:v>2671.5925751800005</c:v>
                </c:pt>
                <c:pt idx="87">
                  <c:v>2579.9964068300014</c:v>
                </c:pt>
                <c:pt idx="88">
                  <c:v>2452.195318500002</c:v>
                </c:pt>
                <c:pt idx="89">
                  <c:v>2360.3878980799991</c:v>
                </c:pt>
                <c:pt idx="90">
                  <c:v>2294.1746511299984</c:v>
                </c:pt>
                <c:pt idx="91">
                  <c:v>2280.0203330700019</c:v>
                </c:pt>
                <c:pt idx="92">
                  <c:v>2302.481378800001</c:v>
                </c:pt>
                <c:pt idx="93">
                  <c:v>2383.8113812800016</c:v>
                </c:pt>
                <c:pt idx="94">
                  <c:v>2536.0807502900002</c:v>
                </c:pt>
                <c:pt idx="95">
                  <c:v>2623.8588130700014</c:v>
                </c:pt>
                <c:pt idx="96">
                  <c:v>2671.4557889600005</c:v>
                </c:pt>
                <c:pt idx="97">
                  <c:v>2745.2738997700003</c:v>
                </c:pt>
                <c:pt idx="98">
                  <c:v>2737.079393080001</c:v>
                </c:pt>
                <c:pt idx="99">
                  <c:v>2642.3147235900019</c:v>
                </c:pt>
                <c:pt idx="100">
                  <c:v>2500.3475788000014</c:v>
                </c:pt>
                <c:pt idx="101">
                  <c:v>2341.8771341700026</c:v>
                </c:pt>
                <c:pt idx="102">
                  <c:v>2195.9192810199993</c:v>
                </c:pt>
                <c:pt idx="103">
                  <c:v>2024.9378153599991</c:v>
                </c:pt>
                <c:pt idx="104">
                  <c:v>1852.1115132599994</c:v>
                </c:pt>
                <c:pt idx="105">
                  <c:v>1728.5390663299993</c:v>
                </c:pt>
                <c:pt idx="106">
                  <c:v>1664.4805288200002</c:v>
                </c:pt>
                <c:pt idx="107">
                  <c:v>1626.3388537900005</c:v>
                </c:pt>
                <c:pt idx="108">
                  <c:v>1571.9140512900001</c:v>
                </c:pt>
                <c:pt idx="109">
                  <c:v>1503.5996417600008</c:v>
                </c:pt>
                <c:pt idx="110">
                  <c:v>1429.86999169</c:v>
                </c:pt>
                <c:pt idx="111">
                  <c:v>1385.0141919500002</c:v>
                </c:pt>
                <c:pt idx="112">
                  <c:v>1323.4980594900007</c:v>
                </c:pt>
                <c:pt idx="113">
                  <c:v>1245.4815195199997</c:v>
                </c:pt>
                <c:pt idx="114">
                  <c:v>1160.0074064900002</c:v>
                </c:pt>
                <c:pt idx="115">
                  <c:v>1115.02426911</c:v>
                </c:pt>
                <c:pt idx="116">
                  <c:v>1079.0577102899999</c:v>
                </c:pt>
                <c:pt idx="117">
                  <c:v>1041.1111181999993</c:v>
                </c:pt>
                <c:pt idx="118">
                  <c:v>1033.7911004699999</c:v>
                </c:pt>
                <c:pt idx="119">
                  <c:v>1045.3807796599999</c:v>
                </c:pt>
                <c:pt idx="120">
                  <c:v>1041.4235542700001</c:v>
                </c:pt>
                <c:pt idx="121">
                  <c:v>1029.6840510400002</c:v>
                </c:pt>
                <c:pt idx="122">
                  <c:v>1027.8519901499999</c:v>
                </c:pt>
                <c:pt idx="123">
                  <c:v>986.95044920000032</c:v>
                </c:pt>
                <c:pt idx="124">
                  <c:v>911.55555171999947</c:v>
                </c:pt>
                <c:pt idx="125">
                  <c:v>842.2599053800003</c:v>
                </c:pt>
                <c:pt idx="126">
                  <c:v>783.25769632999959</c:v>
                </c:pt>
                <c:pt idx="127">
                  <c:v>712.14580866999995</c:v>
                </c:pt>
                <c:pt idx="128">
                  <c:v>659.23674148000009</c:v>
                </c:pt>
                <c:pt idx="129">
                  <c:v>602.25329872000009</c:v>
                </c:pt>
                <c:pt idx="130">
                  <c:v>566.10403161000011</c:v>
                </c:pt>
                <c:pt idx="131">
                  <c:v>542.78967278000005</c:v>
                </c:pt>
                <c:pt idx="132">
                  <c:v>529.17351144000031</c:v>
                </c:pt>
              </c:numCache>
            </c:numRef>
          </c:val>
          <c:extLst xmlns:c16r2="http://schemas.microsoft.com/office/drawing/2015/06/chart">
            <c:ext xmlns:c16="http://schemas.microsoft.com/office/drawing/2014/chart" uri="{C3380CC4-5D6E-409C-BE32-E72D297353CC}">
              <c16:uniqueId val="{00000000-E4F3-4E60-836C-72B82ACE6313}"/>
            </c:ext>
          </c:extLst>
        </c:ser>
        <c:ser>
          <c:idx val="1"/>
          <c:order val="1"/>
          <c:tx>
            <c:v>Averaged Normal</c:v>
          </c:tx>
          <c:spPr>
            <a:ln w="28575" cap="rnd">
              <a:solidFill>
                <a:schemeClr val="accent3"/>
              </a:solidFill>
              <a:round/>
            </a:ln>
            <a:effectLst/>
          </c:spPr>
          <c:marker>
            <c:symbol val="none"/>
          </c:marker>
          <c:cat>
            <c:numRef>
              <c:f>'neat only TCC &amp; Normal binned'!$B$124:$B$256</c:f>
              <c:numCache>
                <c:formatCode>General</c:formatCode>
                <c:ptCount val="133"/>
                <c:pt idx="0">
                  <c:v>557.00001099999997</c:v>
                </c:pt>
                <c:pt idx="1">
                  <c:v>557.08334400000035</c:v>
                </c:pt>
                <c:pt idx="2">
                  <c:v>557.16667699999971</c:v>
                </c:pt>
                <c:pt idx="3">
                  <c:v>557.25001099999997</c:v>
                </c:pt>
                <c:pt idx="4">
                  <c:v>557.33334400000001</c:v>
                </c:pt>
                <c:pt idx="5">
                  <c:v>557.41667699999971</c:v>
                </c:pt>
                <c:pt idx="6">
                  <c:v>557.50001099999997</c:v>
                </c:pt>
                <c:pt idx="7">
                  <c:v>557.58334400000035</c:v>
                </c:pt>
                <c:pt idx="8">
                  <c:v>557.66667699999971</c:v>
                </c:pt>
                <c:pt idx="9">
                  <c:v>557.75001099999997</c:v>
                </c:pt>
                <c:pt idx="10">
                  <c:v>557.83334400000001</c:v>
                </c:pt>
                <c:pt idx="11">
                  <c:v>557.91667699999971</c:v>
                </c:pt>
                <c:pt idx="12">
                  <c:v>558.00001099999997</c:v>
                </c:pt>
                <c:pt idx="13">
                  <c:v>558.08334400000035</c:v>
                </c:pt>
                <c:pt idx="14">
                  <c:v>558.16667699999971</c:v>
                </c:pt>
                <c:pt idx="15">
                  <c:v>558.25001099999997</c:v>
                </c:pt>
                <c:pt idx="16">
                  <c:v>558.33334400000001</c:v>
                </c:pt>
                <c:pt idx="17">
                  <c:v>558.41667699999971</c:v>
                </c:pt>
                <c:pt idx="18">
                  <c:v>558.50001099999997</c:v>
                </c:pt>
                <c:pt idx="19">
                  <c:v>558.58334400000035</c:v>
                </c:pt>
                <c:pt idx="20">
                  <c:v>558.66667699999971</c:v>
                </c:pt>
                <c:pt idx="21">
                  <c:v>558.75001099999997</c:v>
                </c:pt>
                <c:pt idx="22">
                  <c:v>558.83334400000001</c:v>
                </c:pt>
                <c:pt idx="23">
                  <c:v>558.91667699999971</c:v>
                </c:pt>
                <c:pt idx="24">
                  <c:v>559.00001099999997</c:v>
                </c:pt>
                <c:pt idx="25">
                  <c:v>559.08334400000035</c:v>
                </c:pt>
                <c:pt idx="26">
                  <c:v>559.16667699999971</c:v>
                </c:pt>
                <c:pt idx="27">
                  <c:v>559.25001099999997</c:v>
                </c:pt>
                <c:pt idx="28">
                  <c:v>559.33334400000001</c:v>
                </c:pt>
                <c:pt idx="29">
                  <c:v>559.41667699999971</c:v>
                </c:pt>
                <c:pt idx="30">
                  <c:v>559.50001099999997</c:v>
                </c:pt>
                <c:pt idx="31">
                  <c:v>559.58334400000035</c:v>
                </c:pt>
                <c:pt idx="32">
                  <c:v>559.66667699999971</c:v>
                </c:pt>
                <c:pt idx="33">
                  <c:v>559.75001099999997</c:v>
                </c:pt>
                <c:pt idx="34">
                  <c:v>559.83334400000001</c:v>
                </c:pt>
                <c:pt idx="35">
                  <c:v>559.91667699999971</c:v>
                </c:pt>
                <c:pt idx="36">
                  <c:v>560.00001099999997</c:v>
                </c:pt>
                <c:pt idx="37">
                  <c:v>560.08334400000035</c:v>
                </c:pt>
                <c:pt idx="38">
                  <c:v>560.16667699999971</c:v>
                </c:pt>
                <c:pt idx="39">
                  <c:v>560.25001099999997</c:v>
                </c:pt>
                <c:pt idx="40">
                  <c:v>560.33334400000001</c:v>
                </c:pt>
                <c:pt idx="41">
                  <c:v>560.41667699999971</c:v>
                </c:pt>
                <c:pt idx="42">
                  <c:v>560.50001099999997</c:v>
                </c:pt>
                <c:pt idx="43">
                  <c:v>560.58334400000035</c:v>
                </c:pt>
                <c:pt idx="44">
                  <c:v>560.66667699999971</c:v>
                </c:pt>
                <c:pt idx="45">
                  <c:v>560.75001099999997</c:v>
                </c:pt>
                <c:pt idx="46">
                  <c:v>560.83334400000001</c:v>
                </c:pt>
                <c:pt idx="47">
                  <c:v>560.91667699999971</c:v>
                </c:pt>
                <c:pt idx="48">
                  <c:v>561.00001099999997</c:v>
                </c:pt>
                <c:pt idx="49">
                  <c:v>561.08334400000035</c:v>
                </c:pt>
                <c:pt idx="50">
                  <c:v>561.16667699999971</c:v>
                </c:pt>
                <c:pt idx="51">
                  <c:v>561.25001099999997</c:v>
                </c:pt>
                <c:pt idx="52">
                  <c:v>561.33334400000001</c:v>
                </c:pt>
                <c:pt idx="53">
                  <c:v>561.41667699999971</c:v>
                </c:pt>
                <c:pt idx="54">
                  <c:v>561.50001099999997</c:v>
                </c:pt>
                <c:pt idx="55">
                  <c:v>561.58334400000035</c:v>
                </c:pt>
                <c:pt idx="56">
                  <c:v>561.66667699999971</c:v>
                </c:pt>
                <c:pt idx="57">
                  <c:v>561.75001099999997</c:v>
                </c:pt>
                <c:pt idx="58">
                  <c:v>561.83334400000001</c:v>
                </c:pt>
                <c:pt idx="59">
                  <c:v>561.91667699999971</c:v>
                </c:pt>
                <c:pt idx="60">
                  <c:v>562.00001099999997</c:v>
                </c:pt>
                <c:pt idx="61">
                  <c:v>562.08334400000035</c:v>
                </c:pt>
                <c:pt idx="62">
                  <c:v>562.16667699999971</c:v>
                </c:pt>
                <c:pt idx="63">
                  <c:v>562.25001099999997</c:v>
                </c:pt>
                <c:pt idx="64">
                  <c:v>562.33334400000001</c:v>
                </c:pt>
                <c:pt idx="65">
                  <c:v>562.41667699999971</c:v>
                </c:pt>
                <c:pt idx="66">
                  <c:v>562.50001099999997</c:v>
                </c:pt>
                <c:pt idx="67">
                  <c:v>562.58334400000035</c:v>
                </c:pt>
                <c:pt idx="68">
                  <c:v>562.66667699999971</c:v>
                </c:pt>
                <c:pt idx="69">
                  <c:v>562.75001099999997</c:v>
                </c:pt>
                <c:pt idx="70">
                  <c:v>562.83334400000001</c:v>
                </c:pt>
                <c:pt idx="71">
                  <c:v>562.91667699999971</c:v>
                </c:pt>
                <c:pt idx="72">
                  <c:v>563.00001099999997</c:v>
                </c:pt>
                <c:pt idx="73">
                  <c:v>563.08334400000035</c:v>
                </c:pt>
                <c:pt idx="74">
                  <c:v>563.16667699999971</c:v>
                </c:pt>
                <c:pt idx="75">
                  <c:v>563.25001099999997</c:v>
                </c:pt>
                <c:pt idx="76">
                  <c:v>563.33334400000001</c:v>
                </c:pt>
                <c:pt idx="77">
                  <c:v>563.41667699999971</c:v>
                </c:pt>
                <c:pt idx="78">
                  <c:v>563.50001099999997</c:v>
                </c:pt>
                <c:pt idx="79">
                  <c:v>563.58334400000035</c:v>
                </c:pt>
                <c:pt idx="80">
                  <c:v>563.66667799999971</c:v>
                </c:pt>
                <c:pt idx="81">
                  <c:v>563.75001099999997</c:v>
                </c:pt>
                <c:pt idx="82">
                  <c:v>563.83334400000001</c:v>
                </c:pt>
                <c:pt idx="83">
                  <c:v>563.91667799999971</c:v>
                </c:pt>
                <c:pt idx="84">
                  <c:v>564.00001099999997</c:v>
                </c:pt>
                <c:pt idx="85">
                  <c:v>564.08334400000035</c:v>
                </c:pt>
                <c:pt idx="86">
                  <c:v>564.16667799999971</c:v>
                </c:pt>
                <c:pt idx="87">
                  <c:v>564.25001099999997</c:v>
                </c:pt>
                <c:pt idx="88">
                  <c:v>564.33334400000001</c:v>
                </c:pt>
                <c:pt idx="89">
                  <c:v>564.41667799999971</c:v>
                </c:pt>
                <c:pt idx="90">
                  <c:v>564.50001099999997</c:v>
                </c:pt>
                <c:pt idx="91">
                  <c:v>564.58334400000035</c:v>
                </c:pt>
                <c:pt idx="92">
                  <c:v>564.66667799999971</c:v>
                </c:pt>
                <c:pt idx="93">
                  <c:v>564.75001099999997</c:v>
                </c:pt>
                <c:pt idx="94">
                  <c:v>564.83334400000001</c:v>
                </c:pt>
                <c:pt idx="95">
                  <c:v>564.91667799999971</c:v>
                </c:pt>
                <c:pt idx="96">
                  <c:v>565.00001099999997</c:v>
                </c:pt>
                <c:pt idx="97">
                  <c:v>565.08334400000035</c:v>
                </c:pt>
                <c:pt idx="98">
                  <c:v>565.16667799999971</c:v>
                </c:pt>
                <c:pt idx="99">
                  <c:v>565.25001099999997</c:v>
                </c:pt>
                <c:pt idx="100">
                  <c:v>565.33334400000001</c:v>
                </c:pt>
                <c:pt idx="101">
                  <c:v>565.41667799999971</c:v>
                </c:pt>
                <c:pt idx="102">
                  <c:v>565.50001099999997</c:v>
                </c:pt>
                <c:pt idx="103">
                  <c:v>565.58334400000035</c:v>
                </c:pt>
                <c:pt idx="104">
                  <c:v>565.66667799999971</c:v>
                </c:pt>
                <c:pt idx="105">
                  <c:v>565.75001099999997</c:v>
                </c:pt>
                <c:pt idx="106">
                  <c:v>565.83334400000001</c:v>
                </c:pt>
                <c:pt idx="107">
                  <c:v>565.91667799999971</c:v>
                </c:pt>
                <c:pt idx="108">
                  <c:v>566.00001099999997</c:v>
                </c:pt>
                <c:pt idx="109">
                  <c:v>566.08334400000035</c:v>
                </c:pt>
                <c:pt idx="110">
                  <c:v>566.16667799999971</c:v>
                </c:pt>
                <c:pt idx="111">
                  <c:v>566.25001099999997</c:v>
                </c:pt>
                <c:pt idx="112">
                  <c:v>566.33334400000001</c:v>
                </c:pt>
                <c:pt idx="113">
                  <c:v>566.41667799999971</c:v>
                </c:pt>
                <c:pt idx="114">
                  <c:v>566.50001099999997</c:v>
                </c:pt>
                <c:pt idx="115">
                  <c:v>566.58334400000035</c:v>
                </c:pt>
                <c:pt idx="116">
                  <c:v>566.66667799999971</c:v>
                </c:pt>
                <c:pt idx="117">
                  <c:v>566.75001099999997</c:v>
                </c:pt>
                <c:pt idx="118">
                  <c:v>566.83334400000001</c:v>
                </c:pt>
                <c:pt idx="119">
                  <c:v>566.91667799999971</c:v>
                </c:pt>
                <c:pt idx="120">
                  <c:v>567.00001099999997</c:v>
                </c:pt>
                <c:pt idx="121">
                  <c:v>567.08334400000035</c:v>
                </c:pt>
                <c:pt idx="122">
                  <c:v>567.16667799999971</c:v>
                </c:pt>
                <c:pt idx="123">
                  <c:v>567.25001099999997</c:v>
                </c:pt>
                <c:pt idx="124">
                  <c:v>567.33334400000001</c:v>
                </c:pt>
                <c:pt idx="125">
                  <c:v>567.41667799999971</c:v>
                </c:pt>
                <c:pt idx="126">
                  <c:v>567.50001099999997</c:v>
                </c:pt>
                <c:pt idx="127">
                  <c:v>567.58334400000035</c:v>
                </c:pt>
                <c:pt idx="128">
                  <c:v>567.66667799999971</c:v>
                </c:pt>
                <c:pt idx="129">
                  <c:v>567.75001099999997</c:v>
                </c:pt>
                <c:pt idx="130">
                  <c:v>567.83334400000001</c:v>
                </c:pt>
                <c:pt idx="131">
                  <c:v>567.91667799999971</c:v>
                </c:pt>
                <c:pt idx="132">
                  <c:v>568.00001099999997</c:v>
                </c:pt>
              </c:numCache>
            </c:numRef>
          </c:cat>
          <c:val>
            <c:numRef>
              <c:f>'neat only TCC &amp; Normal binned'!$FC$124:$FC$256</c:f>
              <c:numCache>
                <c:formatCode>General</c:formatCode>
                <c:ptCount val="133"/>
                <c:pt idx="0">
                  <c:v>110.06975135294118</c:v>
                </c:pt>
                <c:pt idx="1">
                  <c:v>113.32696974509808</c:v>
                </c:pt>
                <c:pt idx="2">
                  <c:v>126.33824645098041</c:v>
                </c:pt>
                <c:pt idx="3">
                  <c:v>133.34178037254901</c:v>
                </c:pt>
                <c:pt idx="4">
                  <c:v>138.03240300000004</c:v>
                </c:pt>
                <c:pt idx="5">
                  <c:v>143.31722176470592</c:v>
                </c:pt>
                <c:pt idx="6">
                  <c:v>150.6877125098039</c:v>
                </c:pt>
                <c:pt idx="7">
                  <c:v>151.13080039215677</c:v>
                </c:pt>
                <c:pt idx="8">
                  <c:v>144.10136735294122</c:v>
                </c:pt>
                <c:pt idx="9">
                  <c:v>142.19502372549019</c:v>
                </c:pt>
                <c:pt idx="10">
                  <c:v>135.27286217647057</c:v>
                </c:pt>
                <c:pt idx="11">
                  <c:v>129.68945480392159</c:v>
                </c:pt>
                <c:pt idx="12">
                  <c:v>128.53031582352941</c:v>
                </c:pt>
                <c:pt idx="13">
                  <c:v>138.60185733333341</c:v>
                </c:pt>
                <c:pt idx="14">
                  <c:v>154.32557392156849</c:v>
                </c:pt>
                <c:pt idx="15">
                  <c:v>162.65899925490197</c:v>
                </c:pt>
                <c:pt idx="16">
                  <c:v>172.80695492156849</c:v>
                </c:pt>
                <c:pt idx="17">
                  <c:v>183.51882413725491</c:v>
                </c:pt>
                <c:pt idx="18">
                  <c:v>200.80183747058834</c:v>
                </c:pt>
                <c:pt idx="19">
                  <c:v>220.56311958823528</c:v>
                </c:pt>
                <c:pt idx="20">
                  <c:v>241.44784449019616</c:v>
                </c:pt>
                <c:pt idx="21">
                  <c:v>262.2789723529412</c:v>
                </c:pt>
                <c:pt idx="22">
                  <c:v>280.4291427843138</c:v>
                </c:pt>
                <c:pt idx="23">
                  <c:v>300.49836180392145</c:v>
                </c:pt>
                <c:pt idx="24">
                  <c:v>330.86150307843133</c:v>
                </c:pt>
                <c:pt idx="25">
                  <c:v>356.5411500196077</c:v>
                </c:pt>
                <c:pt idx="26">
                  <c:v>378.71762962745112</c:v>
                </c:pt>
                <c:pt idx="27">
                  <c:v>394.1063126470587</c:v>
                </c:pt>
                <c:pt idx="28">
                  <c:v>400.53242156862729</c:v>
                </c:pt>
                <c:pt idx="29">
                  <c:v>407.56575131372551</c:v>
                </c:pt>
                <c:pt idx="30">
                  <c:v>395.48461117647065</c:v>
                </c:pt>
                <c:pt idx="31">
                  <c:v>379.77144692156867</c:v>
                </c:pt>
                <c:pt idx="32">
                  <c:v>370.29988652941211</c:v>
                </c:pt>
                <c:pt idx="33">
                  <c:v>346.32472105882368</c:v>
                </c:pt>
                <c:pt idx="34">
                  <c:v>322.94820094117625</c:v>
                </c:pt>
                <c:pt idx="35">
                  <c:v>310.05822974509783</c:v>
                </c:pt>
                <c:pt idx="36">
                  <c:v>300.52505986274491</c:v>
                </c:pt>
                <c:pt idx="37">
                  <c:v>294.78128947058809</c:v>
                </c:pt>
                <c:pt idx="38">
                  <c:v>286.10552566666672</c:v>
                </c:pt>
                <c:pt idx="39">
                  <c:v>277.71756643137235</c:v>
                </c:pt>
                <c:pt idx="40">
                  <c:v>272.98566839215687</c:v>
                </c:pt>
                <c:pt idx="41">
                  <c:v>262.71685643137238</c:v>
                </c:pt>
                <c:pt idx="42">
                  <c:v>250.84323221568624</c:v>
                </c:pt>
                <c:pt idx="43">
                  <c:v>244.79190060784305</c:v>
                </c:pt>
                <c:pt idx="44">
                  <c:v>240.54728235294121</c:v>
                </c:pt>
                <c:pt idx="45">
                  <c:v>238.13194907843149</c:v>
                </c:pt>
                <c:pt idx="46">
                  <c:v>239.16003988235286</c:v>
                </c:pt>
                <c:pt idx="47">
                  <c:v>253.37076907843141</c:v>
                </c:pt>
                <c:pt idx="48">
                  <c:v>269.02757196078403</c:v>
                </c:pt>
                <c:pt idx="49">
                  <c:v>274.86466350980425</c:v>
                </c:pt>
                <c:pt idx="50">
                  <c:v>283.10808723529414</c:v>
                </c:pt>
                <c:pt idx="51">
                  <c:v>286.41739137254899</c:v>
                </c:pt>
                <c:pt idx="52">
                  <c:v>291.68755921568624</c:v>
                </c:pt>
                <c:pt idx="53">
                  <c:v>292.93150015686263</c:v>
                </c:pt>
                <c:pt idx="54">
                  <c:v>288.64050862745125</c:v>
                </c:pt>
                <c:pt idx="55">
                  <c:v>269.90097301960765</c:v>
                </c:pt>
                <c:pt idx="56">
                  <c:v>247.65097433333327</c:v>
                </c:pt>
                <c:pt idx="57">
                  <c:v>238.22473707843127</c:v>
                </c:pt>
                <c:pt idx="58">
                  <c:v>230.71006599999993</c:v>
                </c:pt>
                <c:pt idx="59">
                  <c:v>219.21341964705866</c:v>
                </c:pt>
                <c:pt idx="60">
                  <c:v>210.63208319607833</c:v>
                </c:pt>
                <c:pt idx="61">
                  <c:v>200.2646670196078</c:v>
                </c:pt>
                <c:pt idx="62">
                  <c:v>197.0368894117648</c:v>
                </c:pt>
                <c:pt idx="63">
                  <c:v>193.73083943137252</c:v>
                </c:pt>
                <c:pt idx="64">
                  <c:v>200.33191690196088</c:v>
                </c:pt>
                <c:pt idx="65">
                  <c:v>198.43766723529419</c:v>
                </c:pt>
                <c:pt idx="66">
                  <c:v>201.34666715686268</c:v>
                </c:pt>
                <c:pt idx="67">
                  <c:v>214.46307762745099</c:v>
                </c:pt>
                <c:pt idx="68">
                  <c:v>229.29351096078435</c:v>
                </c:pt>
                <c:pt idx="69">
                  <c:v>250.44911511764698</c:v>
                </c:pt>
                <c:pt idx="70">
                  <c:v>268.77606462745098</c:v>
                </c:pt>
                <c:pt idx="71">
                  <c:v>291.23331692156847</c:v>
                </c:pt>
                <c:pt idx="72">
                  <c:v>328.14945500000016</c:v>
                </c:pt>
                <c:pt idx="73">
                  <c:v>374.10489286274526</c:v>
                </c:pt>
                <c:pt idx="74">
                  <c:v>403.17559874509783</c:v>
                </c:pt>
                <c:pt idx="75">
                  <c:v>411.133864372549</c:v>
                </c:pt>
                <c:pt idx="76">
                  <c:v>414.15319952941172</c:v>
                </c:pt>
                <c:pt idx="77">
                  <c:v>405.24329082352938</c:v>
                </c:pt>
                <c:pt idx="78">
                  <c:v>390.05037994117623</c:v>
                </c:pt>
                <c:pt idx="79">
                  <c:v>370.87681021568625</c:v>
                </c:pt>
                <c:pt idx="80">
                  <c:v>352.22203780392158</c:v>
                </c:pt>
                <c:pt idx="81">
                  <c:v>337.39743709803901</c:v>
                </c:pt>
                <c:pt idx="82">
                  <c:v>325.73701601960749</c:v>
                </c:pt>
                <c:pt idx="83">
                  <c:v>308.072553529412</c:v>
                </c:pt>
                <c:pt idx="84">
                  <c:v>291.38093950980391</c:v>
                </c:pt>
                <c:pt idx="85">
                  <c:v>280.12524135294132</c:v>
                </c:pt>
                <c:pt idx="86">
                  <c:v>275.57438398039216</c:v>
                </c:pt>
                <c:pt idx="87">
                  <c:v>274.08992727450965</c:v>
                </c:pt>
                <c:pt idx="88">
                  <c:v>269.71953784313723</c:v>
                </c:pt>
                <c:pt idx="89">
                  <c:v>264.83386474509803</c:v>
                </c:pt>
                <c:pt idx="90">
                  <c:v>260.22832450980394</c:v>
                </c:pt>
                <c:pt idx="91">
                  <c:v>252.77963725490173</c:v>
                </c:pt>
                <c:pt idx="92">
                  <c:v>252.93768298039222</c:v>
                </c:pt>
                <c:pt idx="93">
                  <c:v>252.67536990196078</c:v>
                </c:pt>
                <c:pt idx="94">
                  <c:v>259.20296378431391</c:v>
                </c:pt>
                <c:pt idx="95">
                  <c:v>270.62698641176468</c:v>
                </c:pt>
                <c:pt idx="96">
                  <c:v>290.46900125490203</c:v>
                </c:pt>
                <c:pt idx="97">
                  <c:v>311.6580974901961</c:v>
                </c:pt>
                <c:pt idx="98">
                  <c:v>325.84016464705877</c:v>
                </c:pt>
                <c:pt idx="99">
                  <c:v>332.07601266666666</c:v>
                </c:pt>
                <c:pt idx="100">
                  <c:v>340.39643878431383</c:v>
                </c:pt>
                <c:pt idx="101">
                  <c:v>325.90605433333332</c:v>
                </c:pt>
                <c:pt idx="102">
                  <c:v>311.25964786274523</c:v>
                </c:pt>
                <c:pt idx="103">
                  <c:v>291.18191733333344</c:v>
                </c:pt>
                <c:pt idx="104">
                  <c:v>274.33641803921569</c:v>
                </c:pt>
                <c:pt idx="105">
                  <c:v>266.40517574509755</c:v>
                </c:pt>
                <c:pt idx="106">
                  <c:v>256.08748349019606</c:v>
                </c:pt>
                <c:pt idx="107">
                  <c:v>252.10964511764698</c:v>
                </c:pt>
                <c:pt idx="108">
                  <c:v>240.88318168627447</c:v>
                </c:pt>
                <c:pt idx="109">
                  <c:v>229.65477411764698</c:v>
                </c:pt>
                <c:pt idx="110">
                  <c:v>227.21743241176463</c:v>
                </c:pt>
                <c:pt idx="111">
                  <c:v>237.66166172549015</c:v>
                </c:pt>
                <c:pt idx="112">
                  <c:v>242.23427735294126</c:v>
                </c:pt>
                <c:pt idx="113">
                  <c:v>245.75787615686278</c:v>
                </c:pt>
                <c:pt idx="114">
                  <c:v>253.10459149019596</c:v>
                </c:pt>
                <c:pt idx="115">
                  <c:v>264.82909100000006</c:v>
                </c:pt>
                <c:pt idx="116">
                  <c:v>278.10540864705882</c:v>
                </c:pt>
                <c:pt idx="117">
                  <c:v>313.74957045098029</c:v>
                </c:pt>
                <c:pt idx="118">
                  <c:v>352.47590584313724</c:v>
                </c:pt>
                <c:pt idx="119">
                  <c:v>404.65715690196083</c:v>
                </c:pt>
                <c:pt idx="120">
                  <c:v>457.60727260784347</c:v>
                </c:pt>
                <c:pt idx="121">
                  <c:v>492.20230415686291</c:v>
                </c:pt>
                <c:pt idx="122">
                  <c:v>518.9704432941179</c:v>
                </c:pt>
                <c:pt idx="123">
                  <c:v>539.13647917647052</c:v>
                </c:pt>
                <c:pt idx="124">
                  <c:v>534.96398343137264</c:v>
                </c:pt>
                <c:pt idx="125">
                  <c:v>511.28667729411757</c:v>
                </c:pt>
                <c:pt idx="126">
                  <c:v>495.85029909803922</c:v>
                </c:pt>
                <c:pt idx="127">
                  <c:v>490.80153009803917</c:v>
                </c:pt>
                <c:pt idx="128">
                  <c:v>485.374786980392</c:v>
                </c:pt>
                <c:pt idx="129">
                  <c:v>466.15363380392182</c:v>
                </c:pt>
                <c:pt idx="130">
                  <c:v>450.31467886274532</c:v>
                </c:pt>
                <c:pt idx="131">
                  <c:v>428.36435917647066</c:v>
                </c:pt>
                <c:pt idx="132">
                  <c:v>409.12271184313704</c:v>
                </c:pt>
              </c:numCache>
            </c:numRef>
          </c:val>
          <c:extLst xmlns:c16r2="http://schemas.microsoft.com/office/drawing/2015/06/chart">
            <c:ext xmlns:c16="http://schemas.microsoft.com/office/drawing/2014/chart" uri="{C3380CC4-5D6E-409C-BE32-E72D297353CC}">
              <c16:uniqueId val="{00000001-E4F3-4E60-836C-72B82ACE6313}"/>
            </c:ext>
          </c:extLst>
        </c:ser>
        <c:marker val="1"/>
        <c:axId val="100738176"/>
        <c:axId val="100739712"/>
      </c:lineChart>
      <c:catAx>
        <c:axId val="100738176"/>
        <c:scaling>
          <c:orientation val="minMax"/>
        </c:scaling>
        <c:axPos val="b"/>
        <c:numFmt formatCode="#,##0" sourceLinked="0"/>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nl-NL" sz="900" b="0" i="0" u="none" strike="noStrike" kern="1200" baseline="0">
                <a:solidFill>
                  <a:schemeClr val="tx1">
                    <a:lumMod val="65000"/>
                    <a:lumOff val="35000"/>
                  </a:schemeClr>
                </a:solidFill>
                <a:latin typeface="+mn-lt"/>
                <a:ea typeface="+mn-ea"/>
                <a:cs typeface="+mn-cs"/>
              </a:defRPr>
            </a:pPr>
            <a:endParaRPr lang="en-US"/>
          </a:p>
        </c:txPr>
        <c:crossAx val="100739712"/>
        <c:crosses val="autoZero"/>
        <c:auto val="1"/>
        <c:lblAlgn val="ctr"/>
        <c:lblOffset val="100"/>
        <c:tickLblSkip val="20"/>
      </c:catAx>
      <c:valAx>
        <c:axId val="10073971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nl-NL" sz="900" b="0" i="0" u="none" strike="noStrike" kern="1200" baseline="0">
                <a:solidFill>
                  <a:schemeClr val="tx1">
                    <a:lumMod val="65000"/>
                    <a:lumOff val="35000"/>
                  </a:schemeClr>
                </a:solidFill>
                <a:latin typeface="+mn-lt"/>
                <a:ea typeface="+mn-ea"/>
                <a:cs typeface="+mn-cs"/>
              </a:defRPr>
            </a:pPr>
            <a:endParaRPr lang="en-US"/>
          </a:p>
        </c:txPr>
        <c:crossAx val="100738176"/>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lang="nl-NL"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nl-NL" sz="1400" b="0" i="0" u="none" strike="noStrike" kern="1200" spc="0" baseline="0">
                <a:solidFill>
                  <a:schemeClr val="tx1">
                    <a:lumMod val="65000"/>
                    <a:lumOff val="35000"/>
                  </a:schemeClr>
                </a:solidFill>
                <a:latin typeface="+mn-lt"/>
                <a:ea typeface="+mn-ea"/>
                <a:cs typeface="+mn-cs"/>
              </a:defRPr>
            </a:pPr>
            <a:r>
              <a:rPr lang="en-US" sz="1200" b="0" i="0" baseline="0">
                <a:effectLst/>
              </a:rPr>
              <a:t>TS-MS averaged </a:t>
            </a:r>
            <a:r>
              <a:rPr lang="en-US" sz="1200" b="0" i="0" u="none" strike="noStrike" kern="1200" spc="0" baseline="0">
                <a:solidFill>
                  <a:sysClr val="windowText" lastClr="000000">
                    <a:lumMod val="65000"/>
                    <a:lumOff val="35000"/>
                  </a:sysClr>
                </a:solidFill>
                <a:effectLst/>
                <a:latin typeface="+mn-lt"/>
                <a:ea typeface="+mn-ea"/>
                <a:cs typeface="+mn-cs"/>
              </a:rPr>
              <a:t>InvUC</a:t>
            </a:r>
            <a:r>
              <a:rPr lang="en-US" sz="1200" b="0" i="0" baseline="0">
                <a:effectLst/>
              </a:rPr>
              <a:t> and normal urothelial touch scans</a:t>
            </a:r>
            <a:endParaRPr lang="en-US" sz="1200">
              <a:effectLst/>
            </a:endParaRPr>
          </a:p>
        </c:rich>
      </c:tx>
      <c:layout/>
      <c:spPr>
        <a:noFill/>
        <a:ln>
          <a:noFill/>
        </a:ln>
        <a:effectLst/>
      </c:spPr>
    </c:title>
    <c:plotArea>
      <c:layout/>
      <c:lineChart>
        <c:grouping val="standard"/>
        <c:ser>
          <c:idx val="0"/>
          <c:order val="0"/>
          <c:tx>
            <c:v>average TCC</c:v>
          </c:tx>
          <c:spPr>
            <a:ln w="28575" cap="rnd">
              <a:solidFill>
                <a:srgbClr val="FF0000"/>
              </a:solidFill>
              <a:round/>
            </a:ln>
            <a:effectLst/>
          </c:spPr>
          <c:marker>
            <c:symbol val="none"/>
          </c:marker>
          <c:cat>
            <c:numRef>
              <c:f>'neat only TCC &amp; Normal binned'!$B$12:$B$120</c:f>
              <c:numCache>
                <c:formatCode>General</c:formatCode>
                <c:ptCount val="109"/>
                <c:pt idx="0">
                  <c:v>277.00000199999999</c:v>
                </c:pt>
                <c:pt idx="1">
                  <c:v>277.08333599999963</c:v>
                </c:pt>
                <c:pt idx="2">
                  <c:v>277.16666900000001</c:v>
                </c:pt>
                <c:pt idx="3">
                  <c:v>277.25000199999999</c:v>
                </c:pt>
                <c:pt idx="4">
                  <c:v>277.33333599999963</c:v>
                </c:pt>
                <c:pt idx="5">
                  <c:v>277.41666899999984</c:v>
                </c:pt>
                <c:pt idx="6">
                  <c:v>277.50000199999999</c:v>
                </c:pt>
                <c:pt idx="7">
                  <c:v>277.58333599999963</c:v>
                </c:pt>
                <c:pt idx="8">
                  <c:v>277.66666900000001</c:v>
                </c:pt>
                <c:pt idx="9">
                  <c:v>277.75000199999999</c:v>
                </c:pt>
                <c:pt idx="10">
                  <c:v>277.83333599999963</c:v>
                </c:pt>
                <c:pt idx="11">
                  <c:v>277.91666899999984</c:v>
                </c:pt>
                <c:pt idx="12">
                  <c:v>278.00000199999999</c:v>
                </c:pt>
                <c:pt idx="13">
                  <c:v>278.08333599999963</c:v>
                </c:pt>
                <c:pt idx="14">
                  <c:v>278.16666900000001</c:v>
                </c:pt>
                <c:pt idx="15">
                  <c:v>278.25000199999999</c:v>
                </c:pt>
                <c:pt idx="16">
                  <c:v>278.33333599999963</c:v>
                </c:pt>
                <c:pt idx="17">
                  <c:v>278.41666899999984</c:v>
                </c:pt>
                <c:pt idx="18">
                  <c:v>278.50000199999999</c:v>
                </c:pt>
                <c:pt idx="19">
                  <c:v>278.58333599999963</c:v>
                </c:pt>
                <c:pt idx="20">
                  <c:v>278.66666900000001</c:v>
                </c:pt>
                <c:pt idx="21">
                  <c:v>278.75000199999999</c:v>
                </c:pt>
                <c:pt idx="22">
                  <c:v>278.83333599999963</c:v>
                </c:pt>
                <c:pt idx="23">
                  <c:v>278.91666899999984</c:v>
                </c:pt>
                <c:pt idx="24">
                  <c:v>279.00000199999999</c:v>
                </c:pt>
                <c:pt idx="25">
                  <c:v>279.08333599999963</c:v>
                </c:pt>
                <c:pt idx="26">
                  <c:v>279.16666900000001</c:v>
                </c:pt>
                <c:pt idx="27">
                  <c:v>279.25000199999999</c:v>
                </c:pt>
                <c:pt idx="28">
                  <c:v>279.33333599999963</c:v>
                </c:pt>
                <c:pt idx="29">
                  <c:v>279.41666899999984</c:v>
                </c:pt>
                <c:pt idx="30">
                  <c:v>279.50000199999999</c:v>
                </c:pt>
                <c:pt idx="31">
                  <c:v>279.58333599999963</c:v>
                </c:pt>
                <c:pt idx="32">
                  <c:v>279.66666900000001</c:v>
                </c:pt>
                <c:pt idx="33">
                  <c:v>279.75000199999999</c:v>
                </c:pt>
                <c:pt idx="34">
                  <c:v>279.83333599999963</c:v>
                </c:pt>
                <c:pt idx="35">
                  <c:v>279.91666899999984</c:v>
                </c:pt>
                <c:pt idx="36">
                  <c:v>280.00000199999999</c:v>
                </c:pt>
                <c:pt idx="37">
                  <c:v>280.08333599999963</c:v>
                </c:pt>
                <c:pt idx="38">
                  <c:v>280.16666900000001</c:v>
                </c:pt>
                <c:pt idx="39">
                  <c:v>280.25000199999999</c:v>
                </c:pt>
                <c:pt idx="40">
                  <c:v>280.33333599999963</c:v>
                </c:pt>
                <c:pt idx="41">
                  <c:v>280.41666899999984</c:v>
                </c:pt>
                <c:pt idx="42">
                  <c:v>280.50000199999999</c:v>
                </c:pt>
                <c:pt idx="43">
                  <c:v>280.58333599999963</c:v>
                </c:pt>
                <c:pt idx="44">
                  <c:v>280.66666900000001</c:v>
                </c:pt>
                <c:pt idx="45">
                  <c:v>280.75000199999999</c:v>
                </c:pt>
                <c:pt idx="46">
                  <c:v>280.83333599999963</c:v>
                </c:pt>
                <c:pt idx="47">
                  <c:v>280.91666899999984</c:v>
                </c:pt>
                <c:pt idx="48">
                  <c:v>281.00000199999999</c:v>
                </c:pt>
                <c:pt idx="49">
                  <c:v>281.08333599999963</c:v>
                </c:pt>
                <c:pt idx="50">
                  <c:v>281.16666900000001</c:v>
                </c:pt>
                <c:pt idx="51">
                  <c:v>281.25000199999999</c:v>
                </c:pt>
                <c:pt idx="52">
                  <c:v>281.33333599999963</c:v>
                </c:pt>
                <c:pt idx="53">
                  <c:v>281.41666899999984</c:v>
                </c:pt>
                <c:pt idx="54">
                  <c:v>281.50000199999999</c:v>
                </c:pt>
                <c:pt idx="55">
                  <c:v>281.58333599999963</c:v>
                </c:pt>
                <c:pt idx="56">
                  <c:v>281.66666900000001</c:v>
                </c:pt>
                <c:pt idx="57">
                  <c:v>281.75000199999999</c:v>
                </c:pt>
                <c:pt idx="58">
                  <c:v>281.83333599999963</c:v>
                </c:pt>
                <c:pt idx="59">
                  <c:v>281.91666899999984</c:v>
                </c:pt>
                <c:pt idx="60">
                  <c:v>282.00000199999999</c:v>
                </c:pt>
                <c:pt idx="61">
                  <c:v>282.08333599999963</c:v>
                </c:pt>
                <c:pt idx="62">
                  <c:v>282.16666900000001</c:v>
                </c:pt>
                <c:pt idx="63">
                  <c:v>282.25000199999999</c:v>
                </c:pt>
                <c:pt idx="64">
                  <c:v>282.33333599999963</c:v>
                </c:pt>
                <c:pt idx="65">
                  <c:v>282.41666899999984</c:v>
                </c:pt>
                <c:pt idx="66">
                  <c:v>282.50000199999999</c:v>
                </c:pt>
                <c:pt idx="67">
                  <c:v>282.58333599999963</c:v>
                </c:pt>
                <c:pt idx="68">
                  <c:v>282.66666900000001</c:v>
                </c:pt>
                <c:pt idx="69">
                  <c:v>282.75000199999999</c:v>
                </c:pt>
                <c:pt idx="70">
                  <c:v>282.83333599999963</c:v>
                </c:pt>
                <c:pt idx="71">
                  <c:v>282.91666899999984</c:v>
                </c:pt>
                <c:pt idx="72">
                  <c:v>283.00000199999999</c:v>
                </c:pt>
                <c:pt idx="73">
                  <c:v>283.08333599999963</c:v>
                </c:pt>
                <c:pt idx="74">
                  <c:v>283.16666900000001</c:v>
                </c:pt>
                <c:pt idx="75">
                  <c:v>283.25000199999999</c:v>
                </c:pt>
                <c:pt idx="76">
                  <c:v>283.33333599999963</c:v>
                </c:pt>
                <c:pt idx="77">
                  <c:v>283.41666899999984</c:v>
                </c:pt>
                <c:pt idx="78">
                  <c:v>283.50000199999999</c:v>
                </c:pt>
                <c:pt idx="79">
                  <c:v>283.58333599999963</c:v>
                </c:pt>
                <c:pt idx="80">
                  <c:v>283.66666900000001</c:v>
                </c:pt>
                <c:pt idx="81">
                  <c:v>283.75000199999999</c:v>
                </c:pt>
                <c:pt idx="82">
                  <c:v>283.83333599999963</c:v>
                </c:pt>
                <c:pt idx="83">
                  <c:v>283.91666899999984</c:v>
                </c:pt>
                <c:pt idx="84">
                  <c:v>284.00000299999999</c:v>
                </c:pt>
                <c:pt idx="85">
                  <c:v>284.08333599999963</c:v>
                </c:pt>
                <c:pt idx="86">
                  <c:v>284.16666900000001</c:v>
                </c:pt>
                <c:pt idx="87">
                  <c:v>284.25000299999999</c:v>
                </c:pt>
                <c:pt idx="88">
                  <c:v>284.33333599999963</c:v>
                </c:pt>
                <c:pt idx="89">
                  <c:v>284.41666899999984</c:v>
                </c:pt>
                <c:pt idx="90">
                  <c:v>284.50000299999999</c:v>
                </c:pt>
                <c:pt idx="91">
                  <c:v>284.58333599999963</c:v>
                </c:pt>
                <c:pt idx="92">
                  <c:v>284.66666900000001</c:v>
                </c:pt>
                <c:pt idx="93">
                  <c:v>284.75000299999999</c:v>
                </c:pt>
                <c:pt idx="94">
                  <c:v>284.83333599999963</c:v>
                </c:pt>
                <c:pt idx="95">
                  <c:v>284.91666899999984</c:v>
                </c:pt>
                <c:pt idx="96">
                  <c:v>285.00000299999999</c:v>
                </c:pt>
                <c:pt idx="97">
                  <c:v>285.08333599999963</c:v>
                </c:pt>
                <c:pt idx="98">
                  <c:v>285.16666900000001</c:v>
                </c:pt>
                <c:pt idx="99">
                  <c:v>285.25000299999999</c:v>
                </c:pt>
                <c:pt idx="100">
                  <c:v>285.33333599999963</c:v>
                </c:pt>
                <c:pt idx="101">
                  <c:v>285.41666899999984</c:v>
                </c:pt>
                <c:pt idx="102">
                  <c:v>285.50000299999999</c:v>
                </c:pt>
                <c:pt idx="103">
                  <c:v>285.58333599999963</c:v>
                </c:pt>
                <c:pt idx="104">
                  <c:v>285.66666900000001</c:v>
                </c:pt>
                <c:pt idx="105">
                  <c:v>285.75000299999999</c:v>
                </c:pt>
                <c:pt idx="106">
                  <c:v>285.83333599999963</c:v>
                </c:pt>
                <c:pt idx="107">
                  <c:v>285.91666899999984</c:v>
                </c:pt>
                <c:pt idx="108">
                  <c:v>286.00000299999999</c:v>
                </c:pt>
              </c:numCache>
            </c:numRef>
          </c:cat>
          <c:val>
            <c:numRef>
              <c:f>'neat only TCC &amp; Normal binned'!$DA$13:$DA$120</c:f>
              <c:numCache>
                <c:formatCode>General</c:formatCode>
                <c:ptCount val="108"/>
                <c:pt idx="0">
                  <c:v>51.58086823999998</c:v>
                </c:pt>
                <c:pt idx="1">
                  <c:v>59.365836320000035</c:v>
                </c:pt>
                <c:pt idx="2">
                  <c:v>68.900097109999948</c:v>
                </c:pt>
                <c:pt idx="3">
                  <c:v>79.719397909999984</c:v>
                </c:pt>
                <c:pt idx="4">
                  <c:v>91.621018169999971</c:v>
                </c:pt>
                <c:pt idx="5">
                  <c:v>99.970122940000067</c:v>
                </c:pt>
                <c:pt idx="6">
                  <c:v>101.14799134</c:v>
                </c:pt>
                <c:pt idx="7">
                  <c:v>98.242389019999948</c:v>
                </c:pt>
                <c:pt idx="8">
                  <c:v>94.001232060000007</c:v>
                </c:pt>
                <c:pt idx="9">
                  <c:v>90.86597557999994</c:v>
                </c:pt>
                <c:pt idx="10">
                  <c:v>89.390969550000023</c:v>
                </c:pt>
                <c:pt idx="11">
                  <c:v>85.079078009999918</c:v>
                </c:pt>
                <c:pt idx="12">
                  <c:v>83.297609750000035</c:v>
                </c:pt>
                <c:pt idx="13">
                  <c:v>80.938103749999996</c:v>
                </c:pt>
                <c:pt idx="14">
                  <c:v>79.537518320000032</c:v>
                </c:pt>
                <c:pt idx="15">
                  <c:v>81.995116460000048</c:v>
                </c:pt>
                <c:pt idx="16">
                  <c:v>80.644010460000061</c:v>
                </c:pt>
                <c:pt idx="17">
                  <c:v>80.286116530000015</c:v>
                </c:pt>
                <c:pt idx="18">
                  <c:v>81.450117819999988</c:v>
                </c:pt>
                <c:pt idx="19">
                  <c:v>83.308382329999915</c:v>
                </c:pt>
                <c:pt idx="20">
                  <c:v>91.50687589999994</c:v>
                </c:pt>
                <c:pt idx="21">
                  <c:v>105.05062585</c:v>
                </c:pt>
                <c:pt idx="22">
                  <c:v>133.65768031000007</c:v>
                </c:pt>
                <c:pt idx="23">
                  <c:v>189.57147328999997</c:v>
                </c:pt>
                <c:pt idx="24">
                  <c:v>294.01542897000013</c:v>
                </c:pt>
                <c:pt idx="25">
                  <c:v>472.92819571999968</c:v>
                </c:pt>
                <c:pt idx="26">
                  <c:v>697.74132499999939</c:v>
                </c:pt>
                <c:pt idx="27">
                  <c:v>947.91475262999995</c:v>
                </c:pt>
                <c:pt idx="28">
                  <c:v>1207.1557681400009</c:v>
                </c:pt>
                <c:pt idx="29">
                  <c:v>1444.5404687200003</c:v>
                </c:pt>
                <c:pt idx="30">
                  <c:v>1577.8784748399989</c:v>
                </c:pt>
                <c:pt idx="31">
                  <c:v>1657.5816837400009</c:v>
                </c:pt>
                <c:pt idx="32">
                  <c:v>1671.5210866699992</c:v>
                </c:pt>
                <c:pt idx="33">
                  <c:v>1649.6396852599992</c:v>
                </c:pt>
                <c:pt idx="34">
                  <c:v>1601.5815863400012</c:v>
                </c:pt>
                <c:pt idx="35">
                  <c:v>1506.6004101099998</c:v>
                </c:pt>
                <c:pt idx="36">
                  <c:v>1436.8057401799992</c:v>
                </c:pt>
                <c:pt idx="37">
                  <c:v>1369.4262028599999</c:v>
                </c:pt>
                <c:pt idx="38">
                  <c:v>1302.5401801600001</c:v>
                </c:pt>
                <c:pt idx="39">
                  <c:v>1265.5460751900007</c:v>
                </c:pt>
                <c:pt idx="40">
                  <c:v>1228.5821698200002</c:v>
                </c:pt>
                <c:pt idx="41">
                  <c:v>1187.3403729099998</c:v>
                </c:pt>
                <c:pt idx="42">
                  <c:v>1157.2847554000004</c:v>
                </c:pt>
                <c:pt idx="43">
                  <c:v>1118.6815749199986</c:v>
                </c:pt>
                <c:pt idx="44">
                  <c:v>1080.6844785199983</c:v>
                </c:pt>
                <c:pt idx="45">
                  <c:v>1044.8788511700006</c:v>
                </c:pt>
                <c:pt idx="46">
                  <c:v>1038.8811153699999</c:v>
                </c:pt>
                <c:pt idx="47">
                  <c:v>1075.1127964099999</c:v>
                </c:pt>
                <c:pt idx="48">
                  <c:v>1169.7834640599992</c:v>
                </c:pt>
                <c:pt idx="49">
                  <c:v>1384.02227597</c:v>
                </c:pt>
                <c:pt idx="50">
                  <c:v>1728.5192558099995</c:v>
                </c:pt>
                <c:pt idx="51">
                  <c:v>2171.5012700699999</c:v>
                </c:pt>
                <c:pt idx="52">
                  <c:v>2666.2730802500009</c:v>
                </c:pt>
                <c:pt idx="53">
                  <c:v>3165.4192769900001</c:v>
                </c:pt>
                <c:pt idx="54">
                  <c:v>3450.1882828599992</c:v>
                </c:pt>
                <c:pt idx="55">
                  <c:v>3609.4352357100011</c:v>
                </c:pt>
                <c:pt idx="56">
                  <c:v>3601.4662899799987</c:v>
                </c:pt>
                <c:pt idx="57">
                  <c:v>3505.5069889799997</c:v>
                </c:pt>
                <c:pt idx="58">
                  <c:v>3343.7998504799989</c:v>
                </c:pt>
                <c:pt idx="59">
                  <c:v>3150.4448158900013</c:v>
                </c:pt>
                <c:pt idx="60">
                  <c:v>2935.1879488199997</c:v>
                </c:pt>
                <c:pt idx="61">
                  <c:v>2766.346673779999</c:v>
                </c:pt>
                <c:pt idx="62">
                  <c:v>2615.3229170500008</c:v>
                </c:pt>
                <c:pt idx="63">
                  <c:v>2538.0874885499998</c:v>
                </c:pt>
                <c:pt idx="64">
                  <c:v>2469.864961159999</c:v>
                </c:pt>
                <c:pt idx="65">
                  <c:v>2416.8161922500026</c:v>
                </c:pt>
                <c:pt idx="66">
                  <c:v>2366.2789249899997</c:v>
                </c:pt>
                <c:pt idx="67">
                  <c:v>2296.3021787600005</c:v>
                </c:pt>
                <c:pt idx="68">
                  <c:v>2198.8517040300026</c:v>
                </c:pt>
                <c:pt idx="69">
                  <c:v>2067.9457926200002</c:v>
                </c:pt>
                <c:pt idx="70">
                  <c:v>1948.0916923200002</c:v>
                </c:pt>
                <c:pt idx="71">
                  <c:v>1844.1636895399988</c:v>
                </c:pt>
                <c:pt idx="72">
                  <c:v>1779.71330947</c:v>
                </c:pt>
                <c:pt idx="73">
                  <c:v>1798.6349698599988</c:v>
                </c:pt>
                <c:pt idx="74">
                  <c:v>1889.7936246600002</c:v>
                </c:pt>
                <c:pt idx="75">
                  <c:v>2034.4715338200001</c:v>
                </c:pt>
                <c:pt idx="76">
                  <c:v>2194.7616564199993</c:v>
                </c:pt>
                <c:pt idx="77">
                  <c:v>2296.8686790899997</c:v>
                </c:pt>
                <c:pt idx="78">
                  <c:v>2306.7674119399999</c:v>
                </c:pt>
                <c:pt idx="79">
                  <c:v>2244.3585500300014</c:v>
                </c:pt>
                <c:pt idx="80">
                  <c:v>2112.4058194100003</c:v>
                </c:pt>
                <c:pt idx="81">
                  <c:v>1938.549544460001</c:v>
                </c:pt>
                <c:pt idx="82">
                  <c:v>1778.7467273700001</c:v>
                </c:pt>
                <c:pt idx="83">
                  <c:v>1606.9267526700005</c:v>
                </c:pt>
                <c:pt idx="84">
                  <c:v>1459.3520414099999</c:v>
                </c:pt>
                <c:pt idx="85">
                  <c:v>1346.67560387</c:v>
                </c:pt>
                <c:pt idx="86">
                  <c:v>1262.7774037100003</c:v>
                </c:pt>
                <c:pt idx="87">
                  <c:v>1223.1234727799992</c:v>
                </c:pt>
                <c:pt idx="88">
                  <c:v>1187.2462235499995</c:v>
                </c:pt>
                <c:pt idx="89">
                  <c:v>1142.27735153</c:v>
                </c:pt>
                <c:pt idx="90">
                  <c:v>1093.5687644000009</c:v>
                </c:pt>
                <c:pt idx="91">
                  <c:v>1035.9735187700001</c:v>
                </c:pt>
                <c:pt idx="92">
                  <c:v>963.03427987999999</c:v>
                </c:pt>
                <c:pt idx="93">
                  <c:v>891.78220729999987</c:v>
                </c:pt>
                <c:pt idx="94">
                  <c:v>817.40127981999956</c:v>
                </c:pt>
                <c:pt idx="95">
                  <c:v>751.34336692999977</c:v>
                </c:pt>
                <c:pt idx="96">
                  <c:v>689.3553448599996</c:v>
                </c:pt>
                <c:pt idx="97">
                  <c:v>630.88181304000011</c:v>
                </c:pt>
                <c:pt idx="98">
                  <c:v>581.22528941999951</c:v>
                </c:pt>
                <c:pt idx="99">
                  <c:v>536.14828827000053</c:v>
                </c:pt>
                <c:pt idx="100">
                  <c:v>499.81411664999962</c:v>
                </c:pt>
                <c:pt idx="101">
                  <c:v>464.16682740999983</c:v>
                </c:pt>
                <c:pt idx="102">
                  <c:v>426.50126981000011</c:v>
                </c:pt>
                <c:pt idx="103">
                  <c:v>388.20019344999974</c:v>
                </c:pt>
                <c:pt idx="104">
                  <c:v>352.77695868999984</c:v>
                </c:pt>
                <c:pt idx="105">
                  <c:v>322.65056873999981</c:v>
                </c:pt>
                <c:pt idx="106">
                  <c:v>289.10316496999985</c:v>
                </c:pt>
                <c:pt idx="107">
                  <c:v>255.62462283000008</c:v>
                </c:pt>
              </c:numCache>
            </c:numRef>
          </c:val>
          <c:extLst xmlns:c16r2="http://schemas.microsoft.com/office/drawing/2015/06/chart">
            <c:ext xmlns:c16="http://schemas.microsoft.com/office/drawing/2014/chart" uri="{C3380CC4-5D6E-409C-BE32-E72D297353CC}">
              <c16:uniqueId val="{00000000-EA32-4208-9BC3-7F9956C92AC1}"/>
            </c:ext>
          </c:extLst>
        </c:ser>
        <c:ser>
          <c:idx val="1"/>
          <c:order val="1"/>
          <c:tx>
            <c:v>average Normal -DN-EA</c:v>
          </c:tx>
          <c:spPr>
            <a:ln w="28575" cap="rnd">
              <a:solidFill>
                <a:srgbClr val="92D050"/>
              </a:solidFill>
              <a:round/>
            </a:ln>
            <a:effectLst/>
          </c:spPr>
          <c:marker>
            <c:symbol val="none"/>
          </c:marker>
          <c:cat>
            <c:numRef>
              <c:f>'neat only TCC &amp; Normal binned'!$B$12:$B$120</c:f>
              <c:numCache>
                <c:formatCode>General</c:formatCode>
                <c:ptCount val="109"/>
                <c:pt idx="0">
                  <c:v>277.00000199999999</c:v>
                </c:pt>
                <c:pt idx="1">
                  <c:v>277.08333599999963</c:v>
                </c:pt>
                <c:pt idx="2">
                  <c:v>277.16666900000001</c:v>
                </c:pt>
                <c:pt idx="3">
                  <c:v>277.25000199999999</c:v>
                </c:pt>
                <c:pt idx="4">
                  <c:v>277.33333599999963</c:v>
                </c:pt>
                <c:pt idx="5">
                  <c:v>277.41666899999984</c:v>
                </c:pt>
                <c:pt idx="6">
                  <c:v>277.50000199999999</c:v>
                </c:pt>
                <c:pt idx="7">
                  <c:v>277.58333599999963</c:v>
                </c:pt>
                <c:pt idx="8">
                  <c:v>277.66666900000001</c:v>
                </c:pt>
                <c:pt idx="9">
                  <c:v>277.75000199999999</c:v>
                </c:pt>
                <c:pt idx="10">
                  <c:v>277.83333599999963</c:v>
                </c:pt>
                <c:pt idx="11">
                  <c:v>277.91666899999984</c:v>
                </c:pt>
                <c:pt idx="12">
                  <c:v>278.00000199999999</c:v>
                </c:pt>
                <c:pt idx="13">
                  <c:v>278.08333599999963</c:v>
                </c:pt>
                <c:pt idx="14">
                  <c:v>278.16666900000001</c:v>
                </c:pt>
                <c:pt idx="15">
                  <c:v>278.25000199999999</c:v>
                </c:pt>
                <c:pt idx="16">
                  <c:v>278.33333599999963</c:v>
                </c:pt>
                <c:pt idx="17">
                  <c:v>278.41666899999984</c:v>
                </c:pt>
                <c:pt idx="18">
                  <c:v>278.50000199999999</c:v>
                </c:pt>
                <c:pt idx="19">
                  <c:v>278.58333599999963</c:v>
                </c:pt>
                <c:pt idx="20">
                  <c:v>278.66666900000001</c:v>
                </c:pt>
                <c:pt idx="21">
                  <c:v>278.75000199999999</c:v>
                </c:pt>
                <c:pt idx="22">
                  <c:v>278.83333599999963</c:v>
                </c:pt>
                <c:pt idx="23">
                  <c:v>278.91666899999984</c:v>
                </c:pt>
                <c:pt idx="24">
                  <c:v>279.00000199999999</c:v>
                </c:pt>
                <c:pt idx="25">
                  <c:v>279.08333599999963</c:v>
                </c:pt>
                <c:pt idx="26">
                  <c:v>279.16666900000001</c:v>
                </c:pt>
                <c:pt idx="27">
                  <c:v>279.25000199999999</c:v>
                </c:pt>
                <c:pt idx="28">
                  <c:v>279.33333599999963</c:v>
                </c:pt>
                <c:pt idx="29">
                  <c:v>279.41666899999984</c:v>
                </c:pt>
                <c:pt idx="30">
                  <c:v>279.50000199999999</c:v>
                </c:pt>
                <c:pt idx="31">
                  <c:v>279.58333599999963</c:v>
                </c:pt>
                <c:pt idx="32">
                  <c:v>279.66666900000001</c:v>
                </c:pt>
                <c:pt idx="33">
                  <c:v>279.75000199999999</c:v>
                </c:pt>
                <c:pt idx="34">
                  <c:v>279.83333599999963</c:v>
                </c:pt>
                <c:pt idx="35">
                  <c:v>279.91666899999984</c:v>
                </c:pt>
                <c:pt idx="36">
                  <c:v>280.00000199999999</c:v>
                </c:pt>
                <c:pt idx="37">
                  <c:v>280.08333599999963</c:v>
                </c:pt>
                <c:pt idx="38">
                  <c:v>280.16666900000001</c:v>
                </c:pt>
                <c:pt idx="39">
                  <c:v>280.25000199999999</c:v>
                </c:pt>
                <c:pt idx="40">
                  <c:v>280.33333599999963</c:v>
                </c:pt>
                <c:pt idx="41">
                  <c:v>280.41666899999984</c:v>
                </c:pt>
                <c:pt idx="42">
                  <c:v>280.50000199999999</c:v>
                </c:pt>
                <c:pt idx="43">
                  <c:v>280.58333599999963</c:v>
                </c:pt>
                <c:pt idx="44">
                  <c:v>280.66666900000001</c:v>
                </c:pt>
                <c:pt idx="45">
                  <c:v>280.75000199999999</c:v>
                </c:pt>
                <c:pt idx="46">
                  <c:v>280.83333599999963</c:v>
                </c:pt>
                <c:pt idx="47">
                  <c:v>280.91666899999984</c:v>
                </c:pt>
                <c:pt idx="48">
                  <c:v>281.00000199999999</c:v>
                </c:pt>
                <c:pt idx="49">
                  <c:v>281.08333599999963</c:v>
                </c:pt>
                <c:pt idx="50">
                  <c:v>281.16666900000001</c:v>
                </c:pt>
                <c:pt idx="51">
                  <c:v>281.25000199999999</c:v>
                </c:pt>
                <c:pt idx="52">
                  <c:v>281.33333599999963</c:v>
                </c:pt>
                <c:pt idx="53">
                  <c:v>281.41666899999984</c:v>
                </c:pt>
                <c:pt idx="54">
                  <c:v>281.50000199999999</c:v>
                </c:pt>
                <c:pt idx="55">
                  <c:v>281.58333599999963</c:v>
                </c:pt>
                <c:pt idx="56">
                  <c:v>281.66666900000001</c:v>
                </c:pt>
                <c:pt idx="57">
                  <c:v>281.75000199999999</c:v>
                </c:pt>
                <c:pt idx="58">
                  <c:v>281.83333599999963</c:v>
                </c:pt>
                <c:pt idx="59">
                  <c:v>281.91666899999984</c:v>
                </c:pt>
                <c:pt idx="60">
                  <c:v>282.00000199999999</c:v>
                </c:pt>
                <c:pt idx="61">
                  <c:v>282.08333599999963</c:v>
                </c:pt>
                <c:pt idx="62">
                  <c:v>282.16666900000001</c:v>
                </c:pt>
                <c:pt idx="63">
                  <c:v>282.25000199999999</c:v>
                </c:pt>
                <c:pt idx="64">
                  <c:v>282.33333599999963</c:v>
                </c:pt>
                <c:pt idx="65">
                  <c:v>282.41666899999984</c:v>
                </c:pt>
                <c:pt idx="66">
                  <c:v>282.50000199999999</c:v>
                </c:pt>
                <c:pt idx="67">
                  <c:v>282.58333599999963</c:v>
                </c:pt>
                <c:pt idx="68">
                  <c:v>282.66666900000001</c:v>
                </c:pt>
                <c:pt idx="69">
                  <c:v>282.75000199999999</c:v>
                </c:pt>
                <c:pt idx="70">
                  <c:v>282.83333599999963</c:v>
                </c:pt>
                <c:pt idx="71">
                  <c:v>282.91666899999984</c:v>
                </c:pt>
                <c:pt idx="72">
                  <c:v>283.00000199999999</c:v>
                </c:pt>
                <c:pt idx="73">
                  <c:v>283.08333599999963</c:v>
                </c:pt>
                <c:pt idx="74">
                  <c:v>283.16666900000001</c:v>
                </c:pt>
                <c:pt idx="75">
                  <c:v>283.25000199999999</c:v>
                </c:pt>
                <c:pt idx="76">
                  <c:v>283.33333599999963</c:v>
                </c:pt>
                <c:pt idx="77">
                  <c:v>283.41666899999984</c:v>
                </c:pt>
                <c:pt idx="78">
                  <c:v>283.50000199999999</c:v>
                </c:pt>
                <c:pt idx="79">
                  <c:v>283.58333599999963</c:v>
                </c:pt>
                <c:pt idx="80">
                  <c:v>283.66666900000001</c:v>
                </c:pt>
                <c:pt idx="81">
                  <c:v>283.75000199999999</c:v>
                </c:pt>
                <c:pt idx="82">
                  <c:v>283.83333599999963</c:v>
                </c:pt>
                <c:pt idx="83">
                  <c:v>283.91666899999984</c:v>
                </c:pt>
                <c:pt idx="84">
                  <c:v>284.00000299999999</c:v>
                </c:pt>
                <c:pt idx="85">
                  <c:v>284.08333599999963</c:v>
                </c:pt>
                <c:pt idx="86">
                  <c:v>284.16666900000001</c:v>
                </c:pt>
                <c:pt idx="87">
                  <c:v>284.25000299999999</c:v>
                </c:pt>
                <c:pt idx="88">
                  <c:v>284.33333599999963</c:v>
                </c:pt>
                <c:pt idx="89">
                  <c:v>284.41666899999984</c:v>
                </c:pt>
                <c:pt idx="90">
                  <c:v>284.50000299999999</c:v>
                </c:pt>
                <c:pt idx="91">
                  <c:v>284.58333599999963</c:v>
                </c:pt>
                <c:pt idx="92">
                  <c:v>284.66666900000001</c:v>
                </c:pt>
                <c:pt idx="93">
                  <c:v>284.75000299999999</c:v>
                </c:pt>
                <c:pt idx="94">
                  <c:v>284.83333599999963</c:v>
                </c:pt>
                <c:pt idx="95">
                  <c:v>284.91666899999984</c:v>
                </c:pt>
                <c:pt idx="96">
                  <c:v>285.00000299999999</c:v>
                </c:pt>
                <c:pt idx="97">
                  <c:v>285.08333599999963</c:v>
                </c:pt>
                <c:pt idx="98">
                  <c:v>285.16666900000001</c:v>
                </c:pt>
                <c:pt idx="99">
                  <c:v>285.25000299999999</c:v>
                </c:pt>
                <c:pt idx="100">
                  <c:v>285.33333599999963</c:v>
                </c:pt>
                <c:pt idx="101">
                  <c:v>285.41666899999984</c:v>
                </c:pt>
                <c:pt idx="102">
                  <c:v>285.50000299999999</c:v>
                </c:pt>
                <c:pt idx="103">
                  <c:v>285.58333599999963</c:v>
                </c:pt>
                <c:pt idx="104">
                  <c:v>285.66666900000001</c:v>
                </c:pt>
                <c:pt idx="105">
                  <c:v>285.75000299999999</c:v>
                </c:pt>
                <c:pt idx="106">
                  <c:v>285.83333599999963</c:v>
                </c:pt>
                <c:pt idx="107">
                  <c:v>285.91666899999984</c:v>
                </c:pt>
                <c:pt idx="108">
                  <c:v>286.00000299999999</c:v>
                </c:pt>
              </c:numCache>
            </c:numRef>
          </c:cat>
          <c:val>
            <c:numRef>
              <c:f>'neat only TCC &amp; Normal binned'!$FE$12:$FE$120</c:f>
              <c:numCache>
                <c:formatCode>General</c:formatCode>
                <c:ptCount val="109"/>
                <c:pt idx="0">
                  <c:v>58.160830346938845</c:v>
                </c:pt>
                <c:pt idx="1">
                  <c:v>65.525969163265316</c:v>
                </c:pt>
                <c:pt idx="2">
                  <c:v>76.090688020408152</c:v>
                </c:pt>
                <c:pt idx="3">
                  <c:v>86.573512999999949</c:v>
                </c:pt>
                <c:pt idx="4">
                  <c:v>96.927479326530658</c:v>
                </c:pt>
                <c:pt idx="5">
                  <c:v>105.18320132653056</c:v>
                </c:pt>
                <c:pt idx="6">
                  <c:v>105.00960742857146</c:v>
                </c:pt>
                <c:pt idx="7">
                  <c:v>99.333904530612273</c:v>
                </c:pt>
                <c:pt idx="8">
                  <c:v>92.805421959183619</c:v>
                </c:pt>
                <c:pt idx="9">
                  <c:v>88.862957244897956</c:v>
                </c:pt>
                <c:pt idx="10">
                  <c:v>81.620850795918372</c:v>
                </c:pt>
                <c:pt idx="11">
                  <c:v>77.377059959183669</c:v>
                </c:pt>
                <c:pt idx="12">
                  <c:v>75.715728142857088</c:v>
                </c:pt>
                <c:pt idx="13">
                  <c:v>72.639089428571438</c:v>
                </c:pt>
                <c:pt idx="14">
                  <c:v>70.162814204081599</c:v>
                </c:pt>
                <c:pt idx="15">
                  <c:v>66.977768775510185</c:v>
                </c:pt>
                <c:pt idx="16">
                  <c:v>66.79925410204082</c:v>
                </c:pt>
                <c:pt idx="17">
                  <c:v>67.019684510204073</c:v>
                </c:pt>
                <c:pt idx="18">
                  <c:v>67.474617408163297</c:v>
                </c:pt>
                <c:pt idx="19">
                  <c:v>67.672865163265243</c:v>
                </c:pt>
                <c:pt idx="20">
                  <c:v>67.115182857142798</c:v>
                </c:pt>
                <c:pt idx="21">
                  <c:v>67.577118510204059</c:v>
                </c:pt>
                <c:pt idx="22">
                  <c:v>74.284002734693857</c:v>
                </c:pt>
                <c:pt idx="23">
                  <c:v>100.61696536734696</c:v>
                </c:pt>
                <c:pt idx="24">
                  <c:v>164.40530489795921</c:v>
                </c:pt>
                <c:pt idx="25">
                  <c:v>260.70059665306138</c:v>
                </c:pt>
                <c:pt idx="26">
                  <c:v>417.57233777550994</c:v>
                </c:pt>
                <c:pt idx="27">
                  <c:v>614.0962899387755</c:v>
                </c:pt>
                <c:pt idx="28">
                  <c:v>856.12048028571428</c:v>
                </c:pt>
                <c:pt idx="29">
                  <c:v>1083.0462306938778</c:v>
                </c:pt>
                <c:pt idx="30">
                  <c:v>1170.0662206530608</c:v>
                </c:pt>
                <c:pt idx="31">
                  <c:v>1201.2063457551017</c:v>
                </c:pt>
                <c:pt idx="32">
                  <c:v>1139.94141344898</c:v>
                </c:pt>
                <c:pt idx="33">
                  <c:v>1065.1668327755099</c:v>
                </c:pt>
                <c:pt idx="34">
                  <c:v>1016.642841632653</c:v>
                </c:pt>
                <c:pt idx="35">
                  <c:v>958.02142675510197</c:v>
                </c:pt>
                <c:pt idx="36">
                  <c:v>923.15728689795856</c:v>
                </c:pt>
                <c:pt idx="37">
                  <c:v>863.19931895918421</c:v>
                </c:pt>
                <c:pt idx="38">
                  <c:v>854.13869242857152</c:v>
                </c:pt>
                <c:pt idx="39">
                  <c:v>857.41788567346907</c:v>
                </c:pt>
                <c:pt idx="40">
                  <c:v>872.37958673469404</c:v>
                </c:pt>
                <c:pt idx="41">
                  <c:v>871.23149853061284</c:v>
                </c:pt>
                <c:pt idx="42">
                  <c:v>859.82277108163271</c:v>
                </c:pt>
                <c:pt idx="43">
                  <c:v>847.8971695306119</c:v>
                </c:pt>
                <c:pt idx="44">
                  <c:v>808.04055044897939</c:v>
                </c:pt>
                <c:pt idx="45">
                  <c:v>750.7146482448984</c:v>
                </c:pt>
                <c:pt idx="46">
                  <c:v>703.19287189795932</c:v>
                </c:pt>
                <c:pt idx="47">
                  <c:v>673.22100671428541</c:v>
                </c:pt>
                <c:pt idx="48">
                  <c:v>669.40734948979571</c:v>
                </c:pt>
                <c:pt idx="49">
                  <c:v>685.75211422448933</c:v>
                </c:pt>
                <c:pt idx="50">
                  <c:v>746.83209369387748</c:v>
                </c:pt>
                <c:pt idx="51">
                  <c:v>837.60889893877584</c:v>
                </c:pt>
                <c:pt idx="52">
                  <c:v>954.33420379591746</c:v>
                </c:pt>
                <c:pt idx="53">
                  <c:v>1081.591567857143</c:v>
                </c:pt>
                <c:pt idx="54">
                  <c:v>1140.0138965714279</c:v>
                </c:pt>
                <c:pt idx="55">
                  <c:v>1130.8398290408159</c:v>
                </c:pt>
                <c:pt idx="56">
                  <c:v>1056.3583531224494</c:v>
                </c:pt>
                <c:pt idx="57">
                  <c:v>963.78405108163304</c:v>
                </c:pt>
                <c:pt idx="58">
                  <c:v>880.61077867346955</c:v>
                </c:pt>
                <c:pt idx="59">
                  <c:v>786.77011479591795</c:v>
                </c:pt>
                <c:pt idx="60">
                  <c:v>729.67373565306207</c:v>
                </c:pt>
                <c:pt idx="61">
                  <c:v>682.01690987755103</c:v>
                </c:pt>
                <c:pt idx="62">
                  <c:v>661.5452570408163</c:v>
                </c:pt>
                <c:pt idx="63">
                  <c:v>641.948189244898</c:v>
                </c:pt>
                <c:pt idx="64">
                  <c:v>634.33195497959184</c:v>
                </c:pt>
                <c:pt idx="65">
                  <c:v>634.5601825510206</c:v>
                </c:pt>
                <c:pt idx="66">
                  <c:v>619.98324030612275</c:v>
                </c:pt>
                <c:pt idx="67">
                  <c:v>613.05287116326531</c:v>
                </c:pt>
                <c:pt idx="68">
                  <c:v>571.10446865306142</c:v>
                </c:pt>
                <c:pt idx="69">
                  <c:v>534.39878502040801</c:v>
                </c:pt>
                <c:pt idx="70">
                  <c:v>512.80766930612242</c:v>
                </c:pt>
                <c:pt idx="71">
                  <c:v>494.89234871428528</c:v>
                </c:pt>
                <c:pt idx="72">
                  <c:v>534.83001273469358</c:v>
                </c:pt>
                <c:pt idx="73">
                  <c:v>669.05214063265294</c:v>
                </c:pt>
                <c:pt idx="74">
                  <c:v>926.23190489795866</c:v>
                </c:pt>
                <c:pt idx="75">
                  <c:v>1295.2213343673459</c:v>
                </c:pt>
                <c:pt idx="76">
                  <c:v>1720.6959801632656</c:v>
                </c:pt>
                <c:pt idx="77">
                  <c:v>2147.7616994081618</c:v>
                </c:pt>
                <c:pt idx="78">
                  <c:v>2376.0457391020404</c:v>
                </c:pt>
                <c:pt idx="79">
                  <c:v>2460.2045660816316</c:v>
                </c:pt>
                <c:pt idx="80">
                  <c:v>2395.5711227551033</c:v>
                </c:pt>
                <c:pt idx="81">
                  <c:v>2240.921791877553</c:v>
                </c:pt>
                <c:pt idx="82">
                  <c:v>2039.1903938775502</c:v>
                </c:pt>
                <c:pt idx="83">
                  <c:v>1796.5975794081635</c:v>
                </c:pt>
                <c:pt idx="84">
                  <c:v>1604.2443731836731</c:v>
                </c:pt>
                <c:pt idx="85">
                  <c:v>1425.961425979591</c:v>
                </c:pt>
                <c:pt idx="86">
                  <c:v>1348.4441407959175</c:v>
                </c:pt>
                <c:pt idx="87">
                  <c:v>1314.3271909795908</c:v>
                </c:pt>
                <c:pt idx="88">
                  <c:v>1294.3716701428568</c:v>
                </c:pt>
                <c:pt idx="89">
                  <c:v>1309.20172244898</c:v>
                </c:pt>
                <c:pt idx="90">
                  <c:v>1305.503102755102</c:v>
                </c:pt>
                <c:pt idx="91">
                  <c:v>1277.4085113877563</c:v>
                </c:pt>
                <c:pt idx="92">
                  <c:v>1192.3379277755103</c:v>
                </c:pt>
                <c:pt idx="93">
                  <c:v>1102.2369658571433</c:v>
                </c:pt>
                <c:pt idx="94">
                  <c:v>1004.4226660408159</c:v>
                </c:pt>
                <c:pt idx="95">
                  <c:v>882.13174910204066</c:v>
                </c:pt>
                <c:pt idx="96">
                  <c:v>800.19632965306153</c:v>
                </c:pt>
                <c:pt idx="97">
                  <c:v>723.01022979591744</c:v>
                </c:pt>
                <c:pt idx="98">
                  <c:v>663.5190331836734</c:v>
                </c:pt>
                <c:pt idx="99">
                  <c:v>607.57325230612287</c:v>
                </c:pt>
                <c:pt idx="100">
                  <c:v>579.4318965510206</c:v>
                </c:pt>
                <c:pt idx="101">
                  <c:v>549.68477685714356</c:v>
                </c:pt>
                <c:pt idx="102">
                  <c:v>494.20582295918354</c:v>
                </c:pt>
                <c:pt idx="103">
                  <c:v>445.26296453061235</c:v>
                </c:pt>
                <c:pt idx="104">
                  <c:v>398.74541028571434</c:v>
                </c:pt>
                <c:pt idx="105">
                  <c:v>347.95375959183673</c:v>
                </c:pt>
                <c:pt idx="106">
                  <c:v>305.32205379591835</c:v>
                </c:pt>
                <c:pt idx="107">
                  <c:v>270.22923506122413</c:v>
                </c:pt>
                <c:pt idx="108">
                  <c:v>245.2702524285713</c:v>
                </c:pt>
              </c:numCache>
            </c:numRef>
          </c:val>
          <c:extLst xmlns:c16r2="http://schemas.microsoft.com/office/drawing/2015/06/chart">
            <c:ext xmlns:c16="http://schemas.microsoft.com/office/drawing/2014/chart" uri="{C3380CC4-5D6E-409C-BE32-E72D297353CC}">
              <c16:uniqueId val="{00000001-EA32-4208-9BC3-7F9956C92AC1}"/>
            </c:ext>
          </c:extLst>
        </c:ser>
        <c:marker val="1"/>
        <c:axId val="100761600"/>
        <c:axId val="100763136"/>
      </c:lineChart>
      <c:catAx>
        <c:axId val="100761600"/>
        <c:scaling>
          <c:orientation val="minMax"/>
        </c:scaling>
        <c:axPos val="b"/>
        <c:numFmt formatCode="#,##0" sourceLinked="0"/>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nl-NL" sz="900" b="0" i="0" u="none" strike="noStrike" kern="1200" baseline="0">
                <a:solidFill>
                  <a:schemeClr val="tx1">
                    <a:lumMod val="65000"/>
                    <a:lumOff val="35000"/>
                  </a:schemeClr>
                </a:solidFill>
                <a:latin typeface="+mn-lt"/>
                <a:ea typeface="+mn-ea"/>
                <a:cs typeface="+mn-cs"/>
              </a:defRPr>
            </a:pPr>
            <a:endParaRPr lang="en-US"/>
          </a:p>
        </c:txPr>
        <c:crossAx val="100763136"/>
        <c:crosses val="autoZero"/>
        <c:auto val="1"/>
        <c:lblAlgn val="ctr"/>
        <c:lblOffset val="100"/>
        <c:tickLblSkip val="20"/>
      </c:catAx>
      <c:valAx>
        <c:axId val="10076313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nl-NL" sz="900" b="0" i="0" u="none" strike="noStrike" kern="1200" baseline="0">
                <a:solidFill>
                  <a:schemeClr val="tx1">
                    <a:lumMod val="65000"/>
                    <a:lumOff val="35000"/>
                  </a:schemeClr>
                </a:solidFill>
                <a:latin typeface="+mn-lt"/>
                <a:ea typeface="+mn-ea"/>
                <a:cs typeface="+mn-cs"/>
              </a:defRPr>
            </a:pPr>
            <a:endParaRPr lang="en-US"/>
          </a:p>
        </c:txPr>
        <c:crossAx val="100761600"/>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lang="nl-NL"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12</Pages>
  <Words>2203</Words>
  <Characters>12561</Characters>
  <Application>Microsoft Office Word</Application>
  <DocSecurity>0</DocSecurity>
  <Lines>104</Lines>
  <Paragraphs>29</Paragraphs>
  <ScaleCrop>false</ScaleCrop>
  <Company/>
  <LinksUpToDate>false</LinksUpToDate>
  <CharactersWithSpaces>14735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sgml</dc:creator>
  <cp:lastModifiedBy>sgml</cp:lastModifiedBy>
  <cp:revision>1</cp:revision>
  <dcterms:created xsi:type="dcterms:W3CDTF">2018-07-21T04:42:00Z</dcterms:created>
  <dcterms:modified xsi:type="dcterms:W3CDTF">2018-07-21T04:44:00Z</dcterms:modified>
</cp:coreProperties>
</file>