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CA" w:rsidRDefault="006950CA" w:rsidP="006950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Supplemental Data</w:t>
      </w: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Pr="00D933A3" w:rsidRDefault="006950CA" w:rsidP="006950CA">
      <w:pPr>
        <w:rPr>
          <w:rFonts w:ascii="Times New Roman" w:hAnsi="Times New Roman"/>
          <w:b/>
        </w:rPr>
      </w:pPr>
      <w:r w:rsidRPr="00D933A3">
        <w:rPr>
          <w:rFonts w:ascii="Times New Roman" w:hAnsi="Times New Roman"/>
          <w:b/>
        </w:rPr>
        <w:t xml:space="preserve">Supplemental Table 1: Adverse Events Stratified by Treatment Regimen </w:t>
      </w:r>
      <w:proofErr w:type="gramStart"/>
      <w:r w:rsidRPr="00D933A3">
        <w:rPr>
          <w:rFonts w:ascii="Times New Roman" w:hAnsi="Times New Roman"/>
          <w:b/>
        </w:rPr>
        <w:t>Across</w:t>
      </w:r>
      <w:proofErr w:type="gramEnd"/>
      <w:r w:rsidRPr="00D933A3">
        <w:rPr>
          <w:rFonts w:ascii="Times New Roman" w:hAnsi="Times New Roman"/>
          <w:b/>
        </w:rPr>
        <w:t xml:space="preserve"> BMI and BSA Categories</w:t>
      </w:r>
    </w:p>
    <w:p w:rsidR="006950CA" w:rsidRPr="00D933A3" w:rsidRDefault="006950CA" w:rsidP="006950CA">
      <w:pPr>
        <w:rPr>
          <w:rFonts w:ascii="Times New Roman" w:hAnsi="Times New Roman"/>
          <w:b/>
        </w:rPr>
      </w:pPr>
    </w:p>
    <w:tbl>
      <w:tblPr>
        <w:tblW w:w="15120" w:type="dxa"/>
        <w:tblInd w:w="-882" w:type="dxa"/>
        <w:tblLook w:val="04A0" w:firstRow="1" w:lastRow="0" w:firstColumn="1" w:lastColumn="0" w:noHBand="0" w:noVBand="1"/>
      </w:tblPr>
      <w:tblGrid>
        <w:gridCol w:w="3240"/>
        <w:gridCol w:w="1710"/>
        <w:gridCol w:w="1710"/>
        <w:gridCol w:w="1530"/>
        <w:gridCol w:w="1530"/>
        <w:gridCol w:w="1170"/>
        <w:gridCol w:w="1530"/>
        <w:gridCol w:w="1530"/>
        <w:gridCol w:w="1170"/>
      </w:tblGrid>
      <w:tr w:rsidR="006950CA" w:rsidRPr="000B5287" w:rsidTr="00AB5F13">
        <w:tc>
          <w:tcPr>
            <w:tcW w:w="3240" w:type="dxa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80" w:type="dxa"/>
            <w:gridSpan w:val="4"/>
          </w:tcPr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BMI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BSA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</w:tr>
      <w:tr w:rsidR="006950CA" w:rsidRPr="000B5287" w:rsidTr="00AB5F13">
        <w:trPr>
          <w:trHeight w:val="395"/>
        </w:trPr>
        <w:tc>
          <w:tcPr>
            <w:tcW w:w="324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&lt;18.5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18.5-24.99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25-29.99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&gt;30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P-value*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&lt; average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≥ average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P-value*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Total (n, 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22 (4.1%)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230 (42.8%)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220 (41.0%)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65 (12.1%)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262 (48.9%)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275 (51.2%)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Grade 3-4 Renal Failure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(9.1%)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9 (3.9%)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(4.6%)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(7.7%)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8 (3.1%)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18 (6.6%)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0.06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GC-based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(20%)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(3.6%)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8 (6%)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23.53 (9%)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 (5.2%)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11 (6.2%)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0.74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(14.3%)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(3.5%)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(2.8%)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(4.1%)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0.70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+VEGF-targeted </w:t>
            </w:r>
            <w:proofErr w:type="spellStart"/>
            <w:r w:rsidRPr="000B5287">
              <w:rPr>
                <w:rFonts w:ascii="Times New Roman" w:hAnsi="Times New Roman"/>
              </w:rPr>
              <w:t>drug</w:t>
            </w:r>
            <w:r w:rsidRPr="000B5287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(8.8%)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(6.7%)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Grade 3-4 Neutropenia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(22.7%)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49 (21.3%)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65 (29.6%)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15 (23.1%)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67 (25.6%)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67 (24.4%)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0.75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GC-based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proofErr w:type="gramStart"/>
            <w:r w:rsidRPr="000B5287">
              <w:rPr>
                <w:rFonts w:ascii="Times New Roman" w:hAnsi="Times New Roman"/>
              </w:rPr>
              <w:t>2  (</w:t>
            </w:r>
            <w:proofErr w:type="gramEnd"/>
            <w:r w:rsidRPr="000B5287">
              <w:rPr>
                <w:rFonts w:ascii="Times New Roman" w:hAnsi="Times New Roman"/>
              </w:rPr>
              <w:t>40%)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21 (18.8%)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44 (33.8%)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(22.7%)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30 (26.1%)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47 (26.2%)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0.97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(42.9%)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22 (53.7%)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12 (27.3%)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(9.8%)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26 (36.1%)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15 (30.6%)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0.53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+VEGF-targeted </w:t>
            </w:r>
            <w:proofErr w:type="spellStart"/>
            <w:r w:rsidRPr="000B5287">
              <w:rPr>
                <w:rFonts w:ascii="Times New Roman" w:hAnsi="Times New Roman"/>
              </w:rPr>
              <w:t>drug</w:t>
            </w:r>
            <w:r w:rsidRPr="000B5287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9 (45.0%)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22 (64.7%)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(33.3%)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7 (43.8%)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29 (54.7%)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0.44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Febrile Neutropenia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(9.1%)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(4.4%)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15 (6.4%)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7 (10.8%)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16 (6.1%)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17 (6.2%)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0.97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GC-based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(20.0%)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(3.6%)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9 (6.8%)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(17.7%)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(8.7%)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7 (3.9%)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0.09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(14.3%)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 (10.3%)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(9.1%)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(33.3%)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 (8.3%)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9 (18.3%)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0.10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+VEGF-targeted </w:t>
            </w:r>
            <w:proofErr w:type="spellStart"/>
            <w:r w:rsidRPr="000B5287">
              <w:rPr>
                <w:rFonts w:ascii="Times New Roman" w:hAnsi="Times New Roman"/>
              </w:rPr>
              <w:t>drug</w:t>
            </w:r>
            <w:r w:rsidRPr="000B5287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(2.9%)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(6.7%)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(3.8%)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0.43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Grade 3-4 Thrombocytopenia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(18.2%)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22 (9.6%)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30 (13.6%)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 (9.2%)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34 (11.5%)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28 (11.6%)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0.95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GC-based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(40.0%)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14 (12.5%)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23 (17.3%)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(9.1%)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19 (16.5%)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24 (13.4%)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0.46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(28.6%)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8 (13.8%)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(6.8%)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(16.7%)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(13.9%)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(10.2%)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0.55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+VEGF-targeted </w:t>
            </w:r>
            <w:proofErr w:type="spellStart"/>
            <w:r w:rsidRPr="000B5287">
              <w:rPr>
                <w:rFonts w:ascii="Times New Roman" w:hAnsi="Times New Roman"/>
              </w:rPr>
              <w:t>drug</w:t>
            </w:r>
            <w:r w:rsidRPr="000B5287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(25.0%)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15 (44.1%)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(20.0%)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6 (37.5%)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17 (32.1%)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0.69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Embolic Events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8 (3.5%)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10 (4.6%)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(7.9%)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7 (2.7%)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16 (5.9%)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0.07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GC-based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 (4.6%)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9 (6.8%)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(7.1%)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(3.6%)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13 (7.4 %)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0.18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(5.2%)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(2.3%)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(4.2%)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 (2.0%)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0.52</w:t>
            </w:r>
          </w:p>
        </w:tc>
      </w:tr>
      <w:tr w:rsidR="006950CA" w:rsidRPr="000B5287" w:rsidTr="00AB5F13">
        <w:trPr>
          <w:trHeight w:val="341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 +VEGF-targeted </w:t>
            </w:r>
            <w:proofErr w:type="spellStart"/>
            <w:r w:rsidRPr="000B5287">
              <w:rPr>
                <w:rFonts w:ascii="Times New Roman" w:hAnsi="Times New Roman"/>
              </w:rPr>
              <w:t>drug</w:t>
            </w:r>
            <w:r w:rsidRPr="000B5287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 (23.5%)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(9.1%)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 (23.1%)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 (15.4%)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8 (16.0%)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0.96</w:t>
            </w:r>
          </w:p>
        </w:tc>
      </w:tr>
    </w:tbl>
    <w:p w:rsidR="006950CA" w:rsidRDefault="006950CA" w:rsidP="006950CA">
      <w:pPr>
        <w:rPr>
          <w:rFonts w:ascii="Times New Roman" w:hAnsi="Times New Roman"/>
          <w:b/>
        </w:rPr>
      </w:pPr>
      <w:r w:rsidRPr="00D933A3">
        <w:rPr>
          <w:rFonts w:ascii="Times New Roman" w:hAnsi="Times New Roman"/>
        </w:rPr>
        <w:t>*</w:t>
      </w:r>
      <w:proofErr w:type="spellStart"/>
      <w:r w:rsidRPr="00D933A3">
        <w:rPr>
          <w:rFonts w:ascii="Times New Roman" w:hAnsi="Times New Roman"/>
        </w:rPr>
        <w:t>Kruskal</w:t>
      </w:r>
      <w:proofErr w:type="spellEnd"/>
      <w:r w:rsidRPr="00D933A3">
        <w:rPr>
          <w:rFonts w:ascii="Times New Roman" w:hAnsi="Times New Roman"/>
        </w:rPr>
        <w:t>-Wa</w:t>
      </w:r>
      <w:r>
        <w:rPr>
          <w:rFonts w:ascii="Times New Roman" w:hAnsi="Times New Roman"/>
        </w:rPr>
        <w:t xml:space="preserve">llace for continuous variables, </w:t>
      </w:r>
      <w:r w:rsidRPr="00D933A3">
        <w:rPr>
          <w:rFonts w:ascii="Times New Roman" w:hAnsi="Times New Roman"/>
        </w:rPr>
        <w:t>Fisher’s exact test for categorical variables</w:t>
      </w:r>
      <w:r>
        <w:rPr>
          <w:rFonts w:ascii="Times New Roman" w:hAnsi="Times New Roman"/>
        </w:rPr>
        <w:t xml:space="preserve">; </w:t>
      </w:r>
      <w:proofErr w:type="spellStart"/>
      <w:r>
        <w:rPr>
          <w:vertAlign w:val="superscript"/>
        </w:rPr>
        <w:t>b</w:t>
      </w:r>
      <w:r>
        <w:t>Either</w:t>
      </w:r>
      <w:proofErr w:type="spellEnd"/>
      <w:r>
        <w:t xml:space="preserve"> </w:t>
      </w:r>
      <w:proofErr w:type="spellStart"/>
      <w:r>
        <w:t>bevacizumab</w:t>
      </w:r>
      <w:proofErr w:type="spellEnd"/>
      <w:r>
        <w:t xml:space="preserve"> or </w:t>
      </w:r>
      <w:proofErr w:type="spellStart"/>
      <w:r>
        <w:t>sutinib</w:t>
      </w:r>
      <w:proofErr w:type="spellEnd"/>
      <w:r>
        <w:t>;</w:t>
      </w:r>
      <w:r w:rsidRPr="00D933A3">
        <w:rPr>
          <w:rFonts w:ascii="Times New Roman" w:hAnsi="Times New Roman"/>
          <w:b/>
        </w:rPr>
        <w:t xml:space="preserve"> </w:t>
      </w:r>
      <w:r w:rsidRPr="00D933A3">
        <w:rPr>
          <w:rFonts w:ascii="Times New Roman" w:hAnsi="Times New Roman"/>
        </w:rPr>
        <w:t xml:space="preserve">MVAC- methotrexate, vinblastine, doxorubicin, and </w:t>
      </w:r>
      <w:proofErr w:type="spellStart"/>
      <w:r w:rsidRPr="00D933A3">
        <w:rPr>
          <w:rFonts w:ascii="Times New Roman" w:hAnsi="Times New Roman"/>
        </w:rPr>
        <w:t>cisplatin</w:t>
      </w:r>
      <w:proofErr w:type="spellEnd"/>
      <w:r w:rsidRPr="00D933A3">
        <w:rPr>
          <w:rFonts w:ascii="Times New Roman" w:hAnsi="Times New Roman"/>
        </w:rPr>
        <w:t>; GC- Gemcitabine-</w:t>
      </w:r>
      <w:proofErr w:type="spellStart"/>
      <w:r w:rsidRPr="00D933A3">
        <w:rPr>
          <w:rFonts w:ascii="Times New Roman" w:hAnsi="Times New Roman"/>
        </w:rPr>
        <w:t>cisplatin</w:t>
      </w:r>
      <w:proofErr w:type="spellEnd"/>
    </w:p>
    <w:p w:rsidR="006950CA" w:rsidRDefault="006950CA" w:rsidP="006950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Supplemental Table 2: Weight category as a predictor of disease characteristics in adjusted </w:t>
      </w:r>
      <w:proofErr w:type="spellStart"/>
      <w:r>
        <w:rPr>
          <w:rFonts w:ascii="Times New Roman" w:hAnsi="Times New Roman"/>
          <w:b/>
        </w:rPr>
        <w:t>model</w:t>
      </w:r>
      <w:r>
        <w:rPr>
          <w:rFonts w:ascii="Times New Roman" w:hAnsi="Times New Roman"/>
          <w:b/>
          <w:vertAlign w:val="superscript"/>
        </w:rPr>
        <w:t>a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6950CA" w:rsidRDefault="006950CA" w:rsidP="006950CA">
      <w:pPr>
        <w:rPr>
          <w:rFonts w:ascii="Times New Roman" w:hAnsi="Times New Roman"/>
          <w:b/>
        </w:rPr>
      </w:pPr>
    </w:p>
    <w:tbl>
      <w:tblPr>
        <w:tblW w:w="1521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1170"/>
        <w:gridCol w:w="810"/>
        <w:gridCol w:w="1890"/>
        <w:gridCol w:w="1890"/>
        <w:gridCol w:w="1980"/>
        <w:gridCol w:w="990"/>
        <w:gridCol w:w="1170"/>
        <w:gridCol w:w="1800"/>
        <w:gridCol w:w="900"/>
      </w:tblGrid>
      <w:tr w:rsidR="006950CA" w:rsidRPr="000B5287" w:rsidTr="00AB5F13">
        <w:trPr>
          <w:trHeight w:val="59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BMI</w:t>
            </w:r>
          </w:p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Odds Ratio (95% CI)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BSA</w:t>
            </w:r>
          </w:p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Odds Ratio (95% CI)</w:t>
            </w:r>
          </w:p>
        </w:tc>
      </w:tr>
      <w:tr w:rsidR="006950CA" w:rsidRPr="000B5287" w:rsidTr="00AB5F13">
        <w:trPr>
          <w:trHeight w:val="59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&lt;18.5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18.5-24.99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25-29.99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&gt;30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P-value*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&lt; average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≥ average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P-value*</w:t>
            </w:r>
          </w:p>
        </w:tc>
      </w:tr>
      <w:tr w:rsidR="006950CA" w:rsidRPr="000B5287" w:rsidTr="00AB5F13">
        <w:tc>
          <w:tcPr>
            <w:tcW w:w="2617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Disease sites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</w:tr>
      <w:tr w:rsidR="006950CA" w:rsidRPr="000B5287" w:rsidTr="00AB5F13">
        <w:trPr>
          <w:trHeight w:val="278"/>
        </w:trPr>
        <w:tc>
          <w:tcPr>
            <w:tcW w:w="26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Lymph nodes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2.01 (0.82-4.94)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2.60 (1.05-6.47)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4.85 (1.57-15.0)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1.29 (0.80-1.80)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0.38 </w:t>
            </w:r>
          </w:p>
        </w:tc>
      </w:tr>
      <w:tr w:rsidR="006950CA" w:rsidRPr="000B5287" w:rsidTr="00AB5F13">
        <w:trPr>
          <w:trHeight w:val="278"/>
        </w:trPr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1.97 (0.76-5.11)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2.52 (0.91-6.93)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4.83 (1.42-16.4)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0.06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1.23 (0.79-1.93)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0.36</w:t>
            </w:r>
          </w:p>
        </w:tc>
      </w:tr>
      <w:tr w:rsidR="006950CA" w:rsidRPr="000B5287" w:rsidTr="00AB5F13">
        <w:tc>
          <w:tcPr>
            <w:tcW w:w="26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Bone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0.69 (0.27-1.78)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0.48 (0.18-1.25)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 (0.08-0.87)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0.63 (0.41-0.96)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0.03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1.01 (0.37-2.77)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0.84 (0.27-2.44)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0.46 (0.13-1.68)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0.36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0.78 (0.49-1.26)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0.31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Lung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0.62 (0.25-1.55)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0.68 (0.27-1.69)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0.40 (0.14-1.18)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0.36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0.96 (0.66-1.42)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0.85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0.56 (0.21-1.46)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0.57 (0.21-1.58)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0.32 (0.45-1.53)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0.84 (0.55-1.28)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0.42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Liver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0.53 (0.19-1.44)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0.79 (0.23-2.12)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0.38 (0.12-1.26)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0.86 (0.56-1.33)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0.50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0.46 (0.16-1.33)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0.66 (0.22-1.98)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0.32 (0.09-1.16)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0.77 (0.48-1.23)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0.27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Visceral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0.80 (0.33-1.94)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0.78 (0.32-1.90)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0.47 (0.18-1.27)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</w:rPr>
              <w:t>0.84 (0.60-1.18)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0.31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0.88 (0.35-2.22)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0.88 (0.33-2.32)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0.50 (0.17-1.46)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0.80 (0.55-1.16)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0.24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ind w:left="-108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  <w:b/>
              </w:rPr>
              <w:t>Upper Tract Disease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0.49 (0.20-1.20)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0.30 (0.12-0.73)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0.40 (0.14-1.12)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0.79 (0.52-1.19)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0.26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ind w:left="16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  <w:b/>
              </w:rPr>
              <w:t>(</w:t>
            </w:r>
            <w:proofErr w:type="gramStart"/>
            <w:r w:rsidRPr="000B5287">
              <w:rPr>
                <w:rFonts w:ascii="Times New Roman" w:hAnsi="Times New Roman"/>
                <w:b/>
              </w:rPr>
              <w:t>n</w:t>
            </w:r>
            <w:proofErr w:type="gramEnd"/>
            <w:r w:rsidRPr="000B5287">
              <w:rPr>
                <w:rFonts w:ascii="Times New Roman" w:hAnsi="Times New Roman"/>
                <w:b/>
              </w:rPr>
              <w:t>, %)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0.77 (0.29-2.00)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0.65 (0.23-1.81)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0.97 (0.31-3.04)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1.12 (0.70-1.80)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0.63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 xml:space="preserve">Prior Perioperative 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1.16 (0.14-9.33)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1.21 (0.15-9.78)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5.35 (0.66-43.6)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0.01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2.18 (1.08-4.43)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0.03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Chemotherapy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 xml:space="preserve">Ref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1.05 (0.13-8.7)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1.03 (0.12-8.66)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4.61 (0.54-39.3)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&lt;0.01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1.96 (0.95-4.04)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0.06</w:t>
            </w:r>
          </w:p>
        </w:tc>
      </w:tr>
      <w:tr w:rsidR="006950CA" w:rsidRPr="000B5287" w:rsidTr="00AB5F13">
        <w:tc>
          <w:tcPr>
            <w:tcW w:w="2617" w:type="dxa"/>
            <w:tcBorders>
              <w:bottom w:val="nil"/>
            </w:tcBorders>
            <w:shd w:val="clear" w:color="auto" w:fill="FFFFFF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Surgical Intervention</w:t>
            </w:r>
          </w:p>
        </w:tc>
        <w:tc>
          <w:tcPr>
            <w:tcW w:w="117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Non-</w:t>
            </w:r>
            <w:proofErr w:type="spellStart"/>
            <w:r w:rsidRPr="000B5287">
              <w:rPr>
                <w:rFonts w:ascii="Times New Roman" w:hAnsi="Times New Roman"/>
              </w:rPr>
              <w:t>Adj</w:t>
            </w:r>
            <w:proofErr w:type="spellEnd"/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1.17 (0.49-2.82)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1.14 (0.48-2.75)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1.68 (0.61-4.63)</w:t>
            </w:r>
          </w:p>
        </w:tc>
        <w:tc>
          <w:tcPr>
            <w:tcW w:w="99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0.63</w:t>
            </w:r>
          </w:p>
        </w:tc>
        <w:tc>
          <w:tcPr>
            <w:tcW w:w="1170" w:type="dxa"/>
            <w:tcBorders>
              <w:bottom w:val="nil"/>
              <w:right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1.18 (0.82-1.68)</w:t>
            </w:r>
          </w:p>
        </w:tc>
        <w:tc>
          <w:tcPr>
            <w:tcW w:w="900" w:type="dxa"/>
            <w:tcBorders>
              <w:bottom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0.36</w:t>
            </w:r>
          </w:p>
        </w:tc>
      </w:tr>
      <w:tr w:rsidR="006950CA" w:rsidRPr="000B5287" w:rsidTr="00AB5F13">
        <w:tc>
          <w:tcPr>
            <w:tcW w:w="2617" w:type="dxa"/>
            <w:tcBorders>
              <w:top w:val="nil"/>
            </w:tcBorders>
            <w:shd w:val="clear" w:color="auto" w:fill="FFFFFF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Adjusted</w:t>
            </w: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0.93 (0.37-2.36)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0.92 (0.35-2.43)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1.26 (0.42-3.77)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0.81</w:t>
            </w:r>
          </w:p>
        </w:tc>
        <w:tc>
          <w:tcPr>
            <w:tcW w:w="1170" w:type="dxa"/>
            <w:tcBorders>
              <w:top w:val="nil"/>
              <w:righ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Ref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1.03 (0.70-1.54)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0.85</w:t>
            </w:r>
          </w:p>
        </w:tc>
      </w:tr>
    </w:tbl>
    <w:p w:rsidR="006950CA" w:rsidRDefault="006950CA" w:rsidP="006950CA">
      <w:pPr>
        <w:rPr>
          <w:rFonts w:ascii="Times New Roman" w:hAnsi="Times New Roman"/>
          <w:b/>
        </w:rPr>
      </w:pPr>
    </w:p>
    <w:p w:rsidR="006950CA" w:rsidRPr="00814051" w:rsidRDefault="006950CA" w:rsidP="006950CA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vertAlign w:val="superscript"/>
        </w:rPr>
        <w:t>a</w:t>
      </w:r>
      <w:r>
        <w:rPr>
          <w:rFonts w:ascii="Times New Roman" w:hAnsi="Times New Roman"/>
        </w:rPr>
        <w:t>Adjusted</w:t>
      </w:r>
      <w:proofErr w:type="spellEnd"/>
      <w:proofErr w:type="gramEnd"/>
      <w:r>
        <w:rPr>
          <w:rFonts w:ascii="Times New Roman" w:hAnsi="Times New Roman"/>
        </w:rPr>
        <w:t xml:space="preserve"> for geography and chemotherapy regimen</w:t>
      </w:r>
    </w:p>
    <w:p w:rsidR="006950CA" w:rsidRPr="00B67793" w:rsidRDefault="006950CA" w:rsidP="006950C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Chi-square of effect of weight category on model; CI, confidence interval; BMI, body mass index; BSA, body surface area.; </w:t>
      </w:r>
      <w:proofErr w:type="spellStart"/>
      <w:r>
        <w:rPr>
          <w:rFonts w:ascii="Times New Roman" w:hAnsi="Times New Roman"/>
        </w:rPr>
        <w:t>Adj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adusted</w:t>
      </w:r>
      <w:proofErr w:type="spellEnd"/>
      <w:r>
        <w:rPr>
          <w:rFonts w:ascii="Times New Roman" w:hAnsi="Times New Roman"/>
        </w:rPr>
        <w:t xml:space="preserve"> model; Non-</w:t>
      </w:r>
      <w:proofErr w:type="spellStart"/>
      <w:r>
        <w:rPr>
          <w:rFonts w:ascii="Times New Roman" w:hAnsi="Times New Roman"/>
        </w:rPr>
        <w:t>adj</w:t>
      </w:r>
      <w:proofErr w:type="spellEnd"/>
      <w:r>
        <w:rPr>
          <w:rFonts w:ascii="Times New Roman" w:hAnsi="Times New Roman"/>
        </w:rPr>
        <w:t>, non-adjusted model; Ref, reference category</w:t>
      </w: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</w:p>
    <w:p w:rsidR="006950CA" w:rsidRDefault="006950CA" w:rsidP="006950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950CA" w:rsidRPr="00D933A3" w:rsidRDefault="006950CA" w:rsidP="006950CA">
      <w:pPr>
        <w:rPr>
          <w:rFonts w:ascii="Times New Roman" w:hAnsi="Times New Roman"/>
          <w:b/>
        </w:rPr>
      </w:pPr>
      <w:r w:rsidRPr="00D933A3">
        <w:rPr>
          <w:rFonts w:ascii="Times New Roman" w:hAnsi="Times New Roman"/>
          <w:b/>
        </w:rPr>
        <w:lastRenderedPageBreak/>
        <w:t xml:space="preserve">Supplemental Table </w:t>
      </w:r>
      <w:r>
        <w:rPr>
          <w:rFonts w:ascii="Times New Roman" w:hAnsi="Times New Roman"/>
          <w:b/>
        </w:rPr>
        <w:t>3</w:t>
      </w:r>
      <w:r w:rsidRPr="00D933A3">
        <w:rPr>
          <w:rFonts w:ascii="Times New Roman" w:hAnsi="Times New Roman"/>
          <w:b/>
        </w:rPr>
        <w:t>: Survival Stratified by Treatment Regimen across BSA Categories</w:t>
      </w:r>
    </w:p>
    <w:p w:rsidR="006950CA" w:rsidRPr="00D933A3" w:rsidRDefault="006950CA" w:rsidP="006950CA">
      <w:pPr>
        <w:rPr>
          <w:rFonts w:ascii="Times New Roman" w:hAnsi="Times New Roman"/>
          <w:b/>
        </w:rPr>
      </w:pPr>
    </w:p>
    <w:tbl>
      <w:tblPr>
        <w:tblW w:w="7290" w:type="dxa"/>
        <w:tblInd w:w="-882" w:type="dxa"/>
        <w:tblLook w:val="04A0" w:firstRow="1" w:lastRow="0" w:firstColumn="1" w:lastColumn="0" w:noHBand="0" w:noVBand="1"/>
      </w:tblPr>
      <w:tblGrid>
        <w:gridCol w:w="3060"/>
        <w:gridCol w:w="1530"/>
        <w:gridCol w:w="1530"/>
        <w:gridCol w:w="1170"/>
      </w:tblGrid>
      <w:tr w:rsidR="006950CA" w:rsidRPr="000B5287" w:rsidTr="00AB5F13"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jc w:val="center"/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BSA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</w:tr>
      <w:tr w:rsidR="006950CA" w:rsidRPr="000B5287" w:rsidTr="00AB5F13">
        <w:trPr>
          <w:trHeight w:val="395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&lt; average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≥ average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P-value*</w:t>
            </w:r>
          </w:p>
        </w:tc>
      </w:tr>
      <w:tr w:rsidR="006950CA" w:rsidRPr="000B5287" w:rsidTr="00AB5F13">
        <w:trPr>
          <w:trHeight w:val="467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  <w:b/>
              </w:rPr>
              <w:t>Median survival, years (95% CI</w:t>
            </w:r>
            <w:r w:rsidRPr="000B5287">
              <w:rPr>
                <w:rFonts w:ascii="Times New Roman" w:hAnsi="Times New Roma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</w:tr>
      <w:tr w:rsidR="006950CA" w:rsidRPr="000B5287" w:rsidTr="00AB5F13">
        <w:trPr>
          <w:trHeight w:val="747"/>
        </w:trPr>
        <w:tc>
          <w:tcPr>
            <w:tcW w:w="3060" w:type="dxa"/>
            <w:tcBorders>
              <w:right w:val="single" w:sz="4" w:space="0" w:color="auto"/>
            </w:tcBorders>
          </w:tcPr>
          <w:p w:rsidR="006950CA" w:rsidRPr="000B5287" w:rsidRDefault="006950CA" w:rsidP="00AB5F13">
            <w:pPr>
              <w:ind w:left="25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GC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11.2 (8.2-13.7)</w:t>
            </w:r>
          </w:p>
        </w:tc>
        <w:tc>
          <w:tcPr>
            <w:tcW w:w="153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13.1 (11.3-15.7)</w:t>
            </w:r>
          </w:p>
        </w:tc>
        <w:tc>
          <w:tcPr>
            <w:tcW w:w="1170" w:type="dxa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0.15</w:t>
            </w:r>
          </w:p>
        </w:tc>
      </w:tr>
      <w:tr w:rsidR="006950CA" w:rsidRPr="000B5287" w:rsidTr="00AB5F13">
        <w:trPr>
          <w:trHeight w:val="341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ind w:left="252"/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MVAC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16.0 (10.8-25.2)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23.9 (12.3-39.6)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0.</w:t>
            </w:r>
          </w:p>
        </w:tc>
      </w:tr>
    </w:tbl>
    <w:p w:rsidR="006950CA" w:rsidRDefault="006950CA" w:rsidP="006950CA">
      <w:pPr>
        <w:rPr>
          <w:rFonts w:ascii="Times New Roman" w:hAnsi="Times New Roman"/>
        </w:rPr>
      </w:pPr>
    </w:p>
    <w:p w:rsidR="006950CA" w:rsidRDefault="006950CA" w:rsidP="006950CA">
      <w:r w:rsidRPr="00D933A3">
        <w:rPr>
          <w:rFonts w:ascii="Times New Roman" w:hAnsi="Times New Roman"/>
        </w:rPr>
        <w:t>*Fisher’s exact test for categorical variables</w:t>
      </w:r>
      <w:r>
        <w:t>;</w:t>
      </w:r>
      <w:r w:rsidRPr="00D933A3">
        <w:rPr>
          <w:rFonts w:ascii="Times New Roman" w:hAnsi="Times New Roman"/>
          <w:b/>
        </w:rPr>
        <w:t xml:space="preserve"> </w:t>
      </w:r>
      <w:r w:rsidRPr="00D933A3">
        <w:rPr>
          <w:rFonts w:ascii="Times New Roman" w:hAnsi="Times New Roman"/>
        </w:rPr>
        <w:t xml:space="preserve">MVAC- methotrexate, vinblastine, doxorubicin, and </w:t>
      </w:r>
      <w:proofErr w:type="spellStart"/>
      <w:r w:rsidRPr="00D933A3">
        <w:rPr>
          <w:rFonts w:ascii="Times New Roman" w:hAnsi="Times New Roman"/>
        </w:rPr>
        <w:t>cisplatin</w:t>
      </w:r>
      <w:proofErr w:type="spellEnd"/>
      <w:r w:rsidRPr="00D933A3">
        <w:rPr>
          <w:rFonts w:ascii="Times New Roman" w:hAnsi="Times New Roman"/>
        </w:rPr>
        <w:t>; GC- Gemcitabine-</w:t>
      </w:r>
      <w:proofErr w:type="spellStart"/>
      <w:r w:rsidRPr="00D933A3">
        <w:rPr>
          <w:rFonts w:ascii="Times New Roman" w:hAnsi="Times New Roman"/>
        </w:rPr>
        <w:t>cisplatin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6950CA" w:rsidRDefault="006950CA" w:rsidP="006950CA">
      <w:pPr>
        <w:rPr>
          <w:rFonts w:ascii="Times New Roman" w:hAnsi="Times New Roman"/>
        </w:rPr>
      </w:pPr>
    </w:p>
    <w:p w:rsidR="006950CA" w:rsidRDefault="006950CA" w:rsidP="006950CA">
      <w:pPr>
        <w:pStyle w:val="EndNoteBibliography"/>
        <w:numPr>
          <w:ilvl w:val="0"/>
          <w:numId w:val="0"/>
        </w:numPr>
        <w:rPr>
          <w:rFonts w:ascii="Times New Roman" w:hAnsi="Times New Roman"/>
        </w:rPr>
      </w:pPr>
      <w:r w:rsidRPr="00432046">
        <w:rPr>
          <w:rFonts w:ascii="Times New Roman" w:hAnsi="Times New Roman"/>
        </w:rPr>
        <w:t xml:space="preserve"> </w:t>
      </w:r>
    </w:p>
    <w:p w:rsidR="006950CA" w:rsidRPr="005663FA" w:rsidRDefault="006950CA" w:rsidP="006950CA">
      <w:pPr>
        <w:pStyle w:val="EndNoteBibliography"/>
        <w:numPr>
          <w:ilvl w:val="0"/>
          <w:numId w:val="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Supplemental Table 4: </w:t>
      </w:r>
      <w:proofErr w:type="spellStart"/>
      <w:r>
        <w:rPr>
          <w:rFonts w:ascii="Times New Roman" w:hAnsi="Times New Roman"/>
          <w:b/>
        </w:rPr>
        <w:t>Urothelial</w:t>
      </w:r>
      <w:proofErr w:type="spellEnd"/>
      <w:r>
        <w:rPr>
          <w:rFonts w:ascii="Times New Roman" w:hAnsi="Times New Roman"/>
          <w:b/>
        </w:rPr>
        <w:t xml:space="preserve"> tumor location stratified by country</w:t>
      </w:r>
    </w:p>
    <w:p w:rsidR="006950CA" w:rsidRDefault="006950CA" w:rsidP="006950CA">
      <w:pPr>
        <w:pStyle w:val="EndNoteBibliography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20904" w:type="dxa"/>
        <w:tblInd w:w="-882" w:type="dxa"/>
        <w:tblLook w:val="04A0" w:firstRow="1" w:lastRow="0" w:firstColumn="1" w:lastColumn="0" w:noHBand="0" w:noVBand="1"/>
      </w:tblPr>
      <w:tblGrid>
        <w:gridCol w:w="3188"/>
        <w:gridCol w:w="267"/>
        <w:gridCol w:w="1764"/>
        <w:gridCol w:w="1499"/>
        <w:gridCol w:w="1753"/>
        <w:gridCol w:w="1519"/>
        <w:gridCol w:w="327"/>
        <w:gridCol w:w="685"/>
        <w:gridCol w:w="5056"/>
        <w:gridCol w:w="155"/>
        <w:gridCol w:w="1426"/>
        <w:gridCol w:w="157"/>
        <w:gridCol w:w="1387"/>
        <w:gridCol w:w="155"/>
        <w:gridCol w:w="1412"/>
        <w:gridCol w:w="154"/>
        <w:tblGridChange w:id="0">
          <w:tblGrid>
            <w:gridCol w:w="3188"/>
            <w:gridCol w:w="267"/>
            <w:gridCol w:w="1764"/>
            <w:gridCol w:w="1499"/>
            <w:gridCol w:w="1753"/>
            <w:gridCol w:w="1519"/>
            <w:gridCol w:w="327"/>
            <w:gridCol w:w="685"/>
            <w:gridCol w:w="5056"/>
            <w:gridCol w:w="155"/>
            <w:gridCol w:w="1426"/>
            <w:gridCol w:w="157"/>
            <w:gridCol w:w="1387"/>
            <w:gridCol w:w="155"/>
            <w:gridCol w:w="1412"/>
            <w:gridCol w:w="154"/>
          </w:tblGrid>
        </w:tblGridChange>
      </w:tblGrid>
      <w:tr w:rsidR="006950CA" w:rsidRPr="000B5287" w:rsidTr="00AB5F13">
        <w:trPr>
          <w:gridBefore w:val="2"/>
          <w:gridAfter w:val="1"/>
          <w:wBefore w:w="3455" w:type="dxa"/>
          <w:wAfter w:w="154" w:type="dxa"/>
          <w:trHeight w:val="341"/>
        </w:trPr>
        <w:tc>
          <w:tcPr>
            <w:tcW w:w="1764" w:type="dxa"/>
            <w:tcBorders>
              <w:top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3"/>
            <w:tcBorders>
              <w:top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5741" w:type="dxa"/>
            <w:gridSpan w:val="2"/>
            <w:tcBorders>
              <w:top w:val="nil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</w:tr>
      <w:tr w:rsidR="006950CA" w:rsidRPr="000B5287" w:rsidTr="00AB5F13">
        <w:trPr>
          <w:gridBefore w:val="1"/>
          <w:wBefore w:w="3188" w:type="dxa"/>
          <w:trHeight w:val="341"/>
        </w:trPr>
        <w:tc>
          <w:tcPr>
            <w:tcW w:w="267" w:type="dxa"/>
            <w:tcBorders>
              <w:right w:val="single" w:sz="4" w:space="0" w:color="auto"/>
            </w:tcBorders>
          </w:tcPr>
          <w:p w:rsidR="006950CA" w:rsidRPr="005663FA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950CA" w:rsidRPr="005663FA" w:rsidRDefault="006950CA" w:rsidP="00AB5F13">
            <w:pPr>
              <w:rPr>
                <w:rFonts w:ascii="Times New Roman" w:hAnsi="Times New Roman"/>
                <w:b/>
              </w:rPr>
            </w:pPr>
            <w:r w:rsidRPr="005663FA">
              <w:rPr>
                <w:rFonts w:ascii="Times New Roman" w:hAnsi="Times New Roman"/>
                <w:b/>
              </w:rPr>
              <w:t>Germany</w:t>
            </w:r>
          </w:p>
        </w:tc>
        <w:tc>
          <w:tcPr>
            <w:tcW w:w="1499" w:type="dxa"/>
          </w:tcPr>
          <w:p w:rsidR="006950CA" w:rsidRPr="005663FA" w:rsidRDefault="006950CA" w:rsidP="00AB5F13">
            <w:pPr>
              <w:rPr>
                <w:rFonts w:ascii="Times New Roman" w:hAnsi="Times New Roman"/>
                <w:b/>
              </w:rPr>
            </w:pPr>
            <w:r w:rsidRPr="005663FA">
              <w:rPr>
                <w:rFonts w:ascii="Times New Roman" w:hAnsi="Times New Roman"/>
                <w:b/>
              </w:rPr>
              <w:t>Greece</w:t>
            </w:r>
          </w:p>
        </w:tc>
        <w:tc>
          <w:tcPr>
            <w:tcW w:w="1753" w:type="dxa"/>
          </w:tcPr>
          <w:p w:rsidR="006950CA" w:rsidRPr="005663FA" w:rsidRDefault="006950CA" w:rsidP="00AB5F13">
            <w:pPr>
              <w:rPr>
                <w:rFonts w:ascii="Times New Roman" w:hAnsi="Times New Roman"/>
                <w:b/>
              </w:rPr>
            </w:pPr>
            <w:r w:rsidRPr="005663FA">
              <w:rPr>
                <w:rFonts w:ascii="Times New Roman" w:hAnsi="Times New Roman"/>
                <w:b/>
              </w:rPr>
              <w:t>United States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6950CA" w:rsidRPr="005663FA" w:rsidRDefault="006950CA" w:rsidP="00AB5F13">
            <w:pPr>
              <w:rPr>
                <w:rFonts w:ascii="Times New Roman" w:hAnsi="Times New Roman"/>
                <w:b/>
              </w:rPr>
            </w:pPr>
            <w:r w:rsidRPr="005663FA">
              <w:rPr>
                <w:rFonts w:ascii="Times New Roman" w:hAnsi="Times New Roman"/>
                <w:b/>
              </w:rPr>
              <w:t>Taiwan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  <w:gridSpan w:val="2"/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</w:tr>
      <w:tr w:rsidR="006950CA" w:rsidRPr="000B5287" w:rsidTr="00AB5F13">
        <w:trPr>
          <w:trHeight w:val="341"/>
        </w:trPr>
        <w:tc>
          <w:tcPr>
            <w:tcW w:w="3188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Upper tract disease (n (%))</w:t>
            </w:r>
          </w:p>
        </w:tc>
        <w:tc>
          <w:tcPr>
            <w:tcW w:w="267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30 (29.4%)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48 (16.7%)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7 (10.1%)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33 (41.8%)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  <w:r w:rsidRPr="000B5287">
              <w:rPr>
                <w:rFonts w:ascii="Times New Roman" w:hAnsi="Times New Roman"/>
              </w:rPr>
              <w:t>p&lt;0.01*</w:t>
            </w:r>
          </w:p>
        </w:tc>
        <w:tc>
          <w:tcPr>
            <w:tcW w:w="5211" w:type="dxa"/>
            <w:gridSpan w:val="2"/>
          </w:tcPr>
          <w:p w:rsidR="006950CA" w:rsidRPr="000B5287" w:rsidRDefault="006950CA" w:rsidP="00AB5F13">
            <w:pPr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P&lt;0.01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0CA" w:rsidRPr="000B5287" w:rsidRDefault="006950CA" w:rsidP="00AB5F13">
            <w:pPr>
              <w:rPr>
                <w:rFonts w:ascii="Times New Roman" w:hAnsi="Times New Roman"/>
                <w:b/>
              </w:rPr>
            </w:pPr>
            <w:r w:rsidRPr="000B5287">
              <w:rPr>
                <w:rFonts w:ascii="Times New Roman" w:hAnsi="Times New Roman"/>
                <w:b/>
              </w:rPr>
              <w:t>p &lt; 0.01</w:t>
            </w:r>
          </w:p>
        </w:tc>
      </w:tr>
    </w:tbl>
    <w:p w:rsidR="006950CA" w:rsidRDefault="006950CA" w:rsidP="006950CA">
      <w:pPr>
        <w:pStyle w:val="EndNoteBibliography"/>
        <w:numPr>
          <w:ilvl w:val="0"/>
          <w:numId w:val="0"/>
        </w:numPr>
        <w:rPr>
          <w:rFonts w:ascii="Times New Roman" w:hAnsi="Times New Roman"/>
        </w:rPr>
      </w:pPr>
    </w:p>
    <w:p w:rsidR="006950CA" w:rsidRPr="00432046" w:rsidRDefault="006950CA" w:rsidP="006950CA">
      <w:pPr>
        <w:pStyle w:val="EndNoteBibliography"/>
        <w:numPr>
          <w:ilvl w:val="0"/>
          <w:numId w:val="0"/>
        </w:numPr>
        <w:rPr>
          <w:rFonts w:ascii="Times New Roman" w:hAnsi="Times New Roman"/>
        </w:rPr>
      </w:pPr>
      <w:r w:rsidRPr="00D933A3">
        <w:rPr>
          <w:rFonts w:ascii="Times New Roman" w:hAnsi="Times New Roman"/>
        </w:rPr>
        <w:t>*Fisher’s exact test for categorical variables</w:t>
      </w:r>
    </w:p>
    <w:p w:rsidR="002158E9" w:rsidRDefault="002158E9">
      <w:bookmarkStart w:id="1" w:name="_GoBack"/>
      <w:bookmarkEnd w:id="1"/>
    </w:p>
    <w:sectPr w:rsidR="002158E9" w:rsidSect="00EA09F8">
      <w:pgSz w:w="15840" w:h="12240" w:orient="landscape"/>
      <w:pgMar w:top="7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2F3"/>
    <w:multiLevelType w:val="hybridMultilevel"/>
    <w:tmpl w:val="77E63DA8"/>
    <w:lvl w:ilvl="0" w:tplc="FE2ED17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C58041CC">
      <w:start w:val="1"/>
      <w:numFmt w:val="bullet"/>
      <w:pStyle w:val="EndNoteBibliography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CA"/>
    <w:rsid w:val="002158E9"/>
    <w:rsid w:val="006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C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6950CA"/>
    <w:pPr>
      <w:numPr>
        <w:ilvl w:val="1"/>
        <w:numId w:val="1"/>
      </w:num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C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6950CA"/>
    <w:pPr>
      <w:numPr>
        <w:ilvl w:val="1"/>
        <w:numId w:val="1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2016-04-18T03:44:00Z</dcterms:created>
  <dcterms:modified xsi:type="dcterms:W3CDTF">2016-04-18T03:44:00Z</dcterms:modified>
</cp:coreProperties>
</file>