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15" w:rsidRPr="002357E6" w:rsidRDefault="00432515" w:rsidP="00432515">
      <w:pPr>
        <w:pStyle w:val="NormalWeb"/>
        <w:rPr>
          <w:lang w:val="en-US"/>
        </w:rPr>
      </w:pPr>
      <w:bookmarkStart w:id="0" w:name="_GoBack"/>
      <w:bookmarkEnd w:id="0"/>
      <w:r w:rsidRPr="002357E6">
        <w:rPr>
          <w:sz w:val="28"/>
          <w:szCs w:val="28"/>
          <w:u w:val="single"/>
          <w:lang w:val="en-US"/>
        </w:rPr>
        <w:t xml:space="preserve">Supplementary </w:t>
      </w:r>
      <w:r>
        <w:rPr>
          <w:sz w:val="28"/>
          <w:szCs w:val="28"/>
          <w:u w:val="single"/>
          <w:lang w:val="en-US"/>
        </w:rPr>
        <w:t>Figure</w:t>
      </w:r>
      <w:r w:rsidRPr="002357E6">
        <w:rPr>
          <w:sz w:val="28"/>
          <w:szCs w:val="28"/>
          <w:u w:val="single"/>
          <w:lang w:val="en-US"/>
        </w:rPr>
        <w:t xml:space="preserve"> Legends</w:t>
      </w:r>
    </w:p>
    <w:p w:rsidR="00432515" w:rsidRDefault="00432515" w:rsidP="00432515">
      <w:pPr>
        <w:pStyle w:val="NormalWeb"/>
        <w:spacing w:line="600" w:lineRule="auto"/>
        <w:rPr>
          <w:lang w:val="en-US"/>
        </w:rPr>
      </w:pPr>
      <w:r w:rsidRPr="002357E6">
        <w:rPr>
          <w:sz w:val="24"/>
          <w:szCs w:val="24"/>
          <w:lang w:val="en-US"/>
        </w:rPr>
        <w:t xml:space="preserve">Supplementary </w:t>
      </w:r>
      <w:r>
        <w:rPr>
          <w:sz w:val="24"/>
          <w:szCs w:val="24"/>
          <w:lang w:val="en-US"/>
        </w:rPr>
        <w:t>Figure</w:t>
      </w:r>
      <w:r w:rsidRPr="002357E6">
        <w:rPr>
          <w:sz w:val="24"/>
          <w:szCs w:val="24"/>
          <w:lang w:val="en-US"/>
        </w:rPr>
        <w:t xml:space="preserve"> 1:</w:t>
      </w:r>
      <w:r w:rsidRPr="002357E6">
        <w:rPr>
          <w:lang w:val="en-US"/>
        </w:rPr>
        <w:t xml:space="preserve"> </w:t>
      </w:r>
      <w:r>
        <w:rPr>
          <w:lang w:val="en-US"/>
        </w:rPr>
        <w:t>Representation of the BcCluster database architecture (schema)</w:t>
      </w:r>
      <w:r w:rsidRPr="002357E6">
        <w:rPr>
          <w:lang w:val="en-US"/>
        </w:rPr>
        <w:t>.</w:t>
      </w:r>
    </w:p>
    <w:p w:rsidR="00432515" w:rsidRPr="00B91E2F" w:rsidRDefault="00432515" w:rsidP="00432515">
      <w:pPr>
        <w:spacing w:line="600" w:lineRule="auto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drawing>
          <wp:inline distT="0" distB="0" distL="0" distR="0">
            <wp:extent cx="5762625" cy="360807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515" w:rsidRDefault="00432515" w:rsidP="00432515">
      <w:pPr>
        <w:spacing w:line="600" w:lineRule="auto"/>
        <w:rPr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 xml:space="preserve">Supplementary </w:t>
      </w:r>
      <w:r w:rsidRPr="00B91E2F">
        <w:rPr>
          <w:b/>
          <w:sz w:val="22"/>
          <w:szCs w:val="22"/>
          <w:lang w:val="en-US"/>
        </w:rPr>
        <w:t xml:space="preserve">Figure </w:t>
      </w:r>
      <w:r>
        <w:rPr>
          <w:b/>
          <w:sz w:val="22"/>
          <w:szCs w:val="22"/>
          <w:lang w:val="en-US"/>
        </w:rPr>
        <w:t>S</w:t>
      </w:r>
      <w:r w:rsidRPr="00B91E2F">
        <w:rPr>
          <w:b/>
          <w:sz w:val="22"/>
          <w:szCs w:val="22"/>
          <w:lang w:val="en-US"/>
        </w:rPr>
        <w:t>1.</w:t>
      </w:r>
      <w:proofErr w:type="gramEnd"/>
      <w:r w:rsidRPr="00B91E2F">
        <w:rPr>
          <w:b/>
          <w:sz w:val="22"/>
          <w:szCs w:val="22"/>
          <w:lang w:val="en-US"/>
        </w:rPr>
        <w:t xml:space="preserve"> BcCluster architecture</w:t>
      </w:r>
      <w:r w:rsidRPr="00B91E2F">
        <w:rPr>
          <w:sz w:val="22"/>
          <w:szCs w:val="22"/>
          <w:lang w:val="en-US"/>
        </w:rPr>
        <w:t xml:space="preserve">. The figure describes the </w:t>
      </w:r>
      <w:r>
        <w:rPr>
          <w:sz w:val="22"/>
          <w:szCs w:val="22"/>
          <w:lang w:val="en-US"/>
        </w:rPr>
        <w:t xml:space="preserve">structure (schema) of </w:t>
      </w:r>
      <w:r w:rsidRPr="00B91E2F">
        <w:rPr>
          <w:sz w:val="22"/>
          <w:szCs w:val="22"/>
          <w:lang w:val="en-US"/>
        </w:rPr>
        <w:t>the BcCluster database. Tables hold entities that store molecular feature information within the database. Each table contains a unique id, represented by a specific constrain PK that enforces entity integrity and uniqueness of the table. Two tables are linked to one another with FK. Relationships between tables are denoted by one-to-one (1.1), one-to-many (1</w:t>
      </w:r>
      <w:proofErr w:type="gramStart"/>
      <w:r w:rsidRPr="00B91E2F">
        <w:rPr>
          <w:sz w:val="22"/>
          <w:szCs w:val="22"/>
          <w:lang w:val="en-US"/>
        </w:rPr>
        <w:t>:n</w:t>
      </w:r>
      <w:proofErr w:type="gramEnd"/>
      <w:r w:rsidRPr="00B91E2F">
        <w:rPr>
          <w:sz w:val="22"/>
          <w:szCs w:val="22"/>
          <w:lang w:val="en-US"/>
        </w:rPr>
        <w:t>) and many-to-many (</w:t>
      </w:r>
      <w:proofErr w:type="spellStart"/>
      <w:r w:rsidRPr="00B91E2F">
        <w:rPr>
          <w:sz w:val="22"/>
          <w:szCs w:val="22"/>
          <w:lang w:val="en-US"/>
        </w:rPr>
        <w:t>m:n</w:t>
      </w:r>
      <w:proofErr w:type="spellEnd"/>
      <w:r w:rsidRPr="00B91E2F">
        <w:rPr>
          <w:sz w:val="22"/>
          <w:szCs w:val="22"/>
          <w:lang w:val="en-US"/>
        </w:rPr>
        <w:t>).</w:t>
      </w:r>
      <w:r>
        <w:rPr>
          <w:sz w:val="22"/>
          <w:szCs w:val="22"/>
          <w:lang w:val="en-US"/>
        </w:rPr>
        <w:t xml:space="preserve"> The schema was generated by </w:t>
      </w:r>
      <w:proofErr w:type="spellStart"/>
      <w:r>
        <w:rPr>
          <w:sz w:val="22"/>
          <w:szCs w:val="22"/>
          <w:lang w:val="en-US"/>
        </w:rPr>
        <w:t>Dia</w:t>
      </w:r>
      <w:proofErr w:type="spellEnd"/>
      <w:r>
        <w:rPr>
          <w:sz w:val="22"/>
          <w:szCs w:val="22"/>
          <w:lang w:val="en-US"/>
        </w:rPr>
        <w:t xml:space="preserve"> 0.97</w:t>
      </w:r>
    </w:p>
    <w:p w:rsidR="00432515" w:rsidRPr="00A656C1" w:rsidRDefault="00432515" w:rsidP="00432515">
      <w:pPr>
        <w:pStyle w:val="ListParagraph"/>
        <w:spacing w:line="600" w:lineRule="auto"/>
        <w:ind w:left="0"/>
        <w:contextualSpacing w:val="0"/>
        <w:jc w:val="center"/>
        <w:rPr>
          <w:sz w:val="24"/>
          <w:szCs w:val="24"/>
        </w:rPr>
      </w:pPr>
    </w:p>
    <w:p w:rsidR="00432515" w:rsidRDefault="00432515" w:rsidP="00432515">
      <w:pPr>
        <w:pStyle w:val="NormalWeb"/>
        <w:spacing w:line="600" w:lineRule="auto"/>
        <w:rPr>
          <w:lang w:val="en-US"/>
        </w:rPr>
      </w:pPr>
    </w:p>
    <w:p w:rsidR="00432515" w:rsidRDefault="00432515" w:rsidP="00432515">
      <w:pPr>
        <w:pStyle w:val="NormalWeb"/>
        <w:spacing w:line="600" w:lineRule="auto"/>
        <w:rPr>
          <w:lang w:val="en-US"/>
        </w:rPr>
      </w:pPr>
      <w:r w:rsidRPr="002357E6">
        <w:rPr>
          <w:sz w:val="24"/>
          <w:szCs w:val="24"/>
          <w:lang w:val="en-US"/>
        </w:rPr>
        <w:lastRenderedPageBreak/>
        <w:t xml:space="preserve">Supplementary </w:t>
      </w:r>
      <w:r>
        <w:rPr>
          <w:sz w:val="24"/>
          <w:szCs w:val="24"/>
          <w:lang w:val="en-US"/>
        </w:rPr>
        <w:t>Figure</w:t>
      </w:r>
      <w:r w:rsidRPr="002357E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2</w:t>
      </w:r>
      <w:r w:rsidRPr="002357E6">
        <w:rPr>
          <w:sz w:val="24"/>
          <w:szCs w:val="24"/>
          <w:lang w:val="en-US"/>
        </w:rPr>
        <w:t>:</w:t>
      </w:r>
      <w:r w:rsidRPr="002357E6">
        <w:rPr>
          <w:lang w:val="en-US"/>
        </w:rPr>
        <w:t xml:space="preserve"> </w:t>
      </w:r>
      <w:r>
        <w:rPr>
          <w:lang w:val="en-US"/>
        </w:rPr>
        <w:t>Representation of the Ruby on Rails framework used in creating the BcCluster web query interface</w:t>
      </w:r>
      <w:r w:rsidRPr="002357E6">
        <w:rPr>
          <w:lang w:val="en-US"/>
        </w:rPr>
        <w:t>.</w:t>
      </w:r>
    </w:p>
    <w:p w:rsidR="00432515" w:rsidRPr="00B91E2F" w:rsidRDefault="00432515" w:rsidP="00432515">
      <w:pPr>
        <w:spacing w:line="600" w:lineRule="auto"/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drawing>
          <wp:inline distT="0" distB="0" distL="0" distR="0">
            <wp:extent cx="5217160" cy="3168650"/>
            <wp:effectExtent l="0" t="0" r="2540" b="0"/>
            <wp:docPr id="1" name="Picture 1" descr="Description: Description: Description: Rails_frame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Description: Description: Description: Rails_framewo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6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515" w:rsidRPr="00832EC8" w:rsidRDefault="00432515" w:rsidP="00432515">
      <w:pPr>
        <w:spacing w:line="600" w:lineRule="auto"/>
        <w:rPr>
          <w:sz w:val="22"/>
          <w:szCs w:val="22"/>
          <w:lang w:val="en-US"/>
        </w:rPr>
      </w:pPr>
      <w:proofErr w:type="gramStart"/>
      <w:r>
        <w:rPr>
          <w:b/>
          <w:sz w:val="22"/>
          <w:szCs w:val="22"/>
          <w:lang w:val="en-US"/>
        </w:rPr>
        <w:t xml:space="preserve">Supplementary </w:t>
      </w:r>
      <w:r w:rsidRPr="00B91E2F">
        <w:rPr>
          <w:b/>
          <w:sz w:val="22"/>
          <w:szCs w:val="22"/>
          <w:lang w:val="en-US"/>
        </w:rPr>
        <w:t xml:space="preserve">Figure </w:t>
      </w:r>
      <w:r>
        <w:rPr>
          <w:b/>
          <w:sz w:val="22"/>
          <w:szCs w:val="22"/>
          <w:lang w:val="en-US"/>
        </w:rPr>
        <w:t>S</w:t>
      </w:r>
      <w:r w:rsidRPr="00B91E2F">
        <w:rPr>
          <w:b/>
          <w:sz w:val="22"/>
          <w:szCs w:val="22"/>
          <w:lang w:val="en-US"/>
        </w:rPr>
        <w:t>2.</w:t>
      </w:r>
      <w:proofErr w:type="gramEnd"/>
      <w:r w:rsidRPr="00B91E2F">
        <w:rPr>
          <w:b/>
          <w:sz w:val="22"/>
          <w:szCs w:val="22"/>
          <w:lang w:val="en-US"/>
        </w:rPr>
        <w:t xml:space="preserve"> </w:t>
      </w:r>
      <w:proofErr w:type="gramStart"/>
      <w:r w:rsidRPr="00B91E2F">
        <w:rPr>
          <w:b/>
          <w:sz w:val="22"/>
          <w:szCs w:val="22"/>
          <w:lang w:val="en-US"/>
        </w:rPr>
        <w:t>BcCluster framework</w:t>
      </w:r>
      <w:r w:rsidRPr="00B91E2F">
        <w:rPr>
          <w:b/>
          <w:sz w:val="22"/>
          <w:szCs w:val="22"/>
          <w:lang w:val="en-US" w:eastAsia="ja-JP"/>
        </w:rPr>
        <w:t xml:space="preserve"> (Database and software application)</w:t>
      </w:r>
      <w:r w:rsidRPr="00B91E2F">
        <w:rPr>
          <w:sz w:val="22"/>
          <w:szCs w:val="22"/>
          <w:lang w:val="en-US"/>
        </w:rPr>
        <w:t>.</w:t>
      </w:r>
      <w:proofErr w:type="gramEnd"/>
      <w:r w:rsidRPr="00B91E2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BcCluster</w:t>
      </w:r>
      <w:r w:rsidRPr="00B91E2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is a web application developed using the Ruby programming language </w:t>
      </w:r>
      <w:r w:rsidRPr="00B91E2F">
        <w:rPr>
          <w:sz w:val="22"/>
          <w:szCs w:val="22"/>
          <w:lang w:val="en-US"/>
        </w:rPr>
        <w:t>(version 1.9.3)</w:t>
      </w:r>
      <w:r>
        <w:rPr>
          <w:sz w:val="22"/>
          <w:szCs w:val="22"/>
          <w:lang w:val="en-US"/>
        </w:rPr>
        <w:t xml:space="preserve"> and the Rails </w:t>
      </w:r>
      <w:r w:rsidRPr="00B91E2F">
        <w:rPr>
          <w:sz w:val="22"/>
          <w:szCs w:val="22"/>
          <w:lang w:val="en-US"/>
        </w:rPr>
        <w:t>(version 4.1.5)</w:t>
      </w:r>
      <w:r>
        <w:rPr>
          <w:sz w:val="22"/>
          <w:szCs w:val="22"/>
          <w:lang w:val="en-US"/>
        </w:rPr>
        <w:t xml:space="preserve"> web framework (http://rubyonrails.</w:t>
      </w:r>
      <w:r w:rsidRPr="00B91E2F">
        <w:rPr>
          <w:sz w:val="22"/>
          <w:szCs w:val="22"/>
          <w:lang w:val="en-US"/>
        </w:rPr>
        <w:t xml:space="preserve">org/). </w:t>
      </w:r>
      <w:r>
        <w:rPr>
          <w:sz w:val="22"/>
          <w:szCs w:val="22"/>
          <w:lang w:val="en-US"/>
        </w:rPr>
        <w:t>T</w:t>
      </w:r>
      <w:r w:rsidRPr="00B91E2F">
        <w:rPr>
          <w:sz w:val="22"/>
          <w:szCs w:val="22"/>
          <w:lang w:val="en-US"/>
        </w:rPr>
        <w:t xml:space="preserve">he </w:t>
      </w:r>
      <w:r>
        <w:rPr>
          <w:sz w:val="22"/>
          <w:szCs w:val="22"/>
          <w:lang w:val="en-US"/>
        </w:rPr>
        <w:t>framework is based on the architecture pattern of</w:t>
      </w:r>
      <w:r w:rsidRPr="00B91E2F">
        <w:rPr>
          <w:sz w:val="22"/>
          <w:szCs w:val="22"/>
          <w:lang w:val="en-US"/>
        </w:rPr>
        <w:t xml:space="preserve"> Model-View-Controller </w:t>
      </w:r>
      <w:r>
        <w:rPr>
          <w:sz w:val="22"/>
          <w:szCs w:val="22"/>
          <w:lang w:val="en-US"/>
        </w:rPr>
        <w:t>(</w:t>
      </w:r>
      <w:r w:rsidRPr="00B91E2F">
        <w:rPr>
          <w:sz w:val="22"/>
          <w:szCs w:val="22"/>
          <w:lang w:val="en-US"/>
        </w:rPr>
        <w:t>MVC</w:t>
      </w:r>
      <w:r>
        <w:rPr>
          <w:sz w:val="22"/>
          <w:szCs w:val="22"/>
          <w:lang w:val="en-US"/>
        </w:rPr>
        <w:t>)</w:t>
      </w:r>
      <w:r w:rsidRPr="00B91E2F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 xml:space="preserve">The database is generated using the MySQL guidelines </w:t>
      </w:r>
      <w:r w:rsidRPr="00B91E2F">
        <w:rPr>
          <w:sz w:val="22"/>
          <w:szCs w:val="22"/>
          <w:lang w:val="en-US"/>
        </w:rPr>
        <w:t>(</w:t>
      </w:r>
      <w:r w:rsidRPr="00CF2151">
        <w:rPr>
          <w:sz w:val="22"/>
          <w:szCs w:val="22"/>
          <w:lang w:val="en-US"/>
        </w:rPr>
        <w:t>http://www.mysql.com/</w:t>
      </w:r>
      <w:r w:rsidRPr="00B91E2F"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 xml:space="preserve"> and follows the database schema in Figure S1. The database </w:t>
      </w:r>
      <w:r w:rsidRPr="00B91E2F">
        <w:rPr>
          <w:sz w:val="22"/>
          <w:szCs w:val="22"/>
          <w:lang w:val="en-US"/>
        </w:rPr>
        <w:t xml:space="preserve">allows </w:t>
      </w:r>
      <w:r>
        <w:rPr>
          <w:sz w:val="22"/>
          <w:szCs w:val="22"/>
          <w:lang w:val="en-US"/>
        </w:rPr>
        <w:t xml:space="preserve">to </w:t>
      </w:r>
      <w:r w:rsidRPr="00B91E2F">
        <w:rPr>
          <w:sz w:val="22"/>
          <w:szCs w:val="22"/>
          <w:lang w:val="en-US"/>
        </w:rPr>
        <w:t xml:space="preserve">query </w:t>
      </w:r>
      <w:r>
        <w:rPr>
          <w:sz w:val="22"/>
          <w:szCs w:val="22"/>
          <w:lang w:val="en-US"/>
        </w:rPr>
        <w:t xml:space="preserve">and store molecular features, protein interactions and pathways relative to muscle invasive bladder carcinoma. </w:t>
      </w:r>
      <w:r w:rsidRPr="00B91E2F">
        <w:rPr>
          <w:sz w:val="22"/>
          <w:szCs w:val="22"/>
          <w:lang w:val="en-US"/>
        </w:rPr>
        <w:t>The BcCluster application functions on the developmental and the production server. The developmental server is used for all</w:t>
      </w:r>
      <w:r>
        <w:rPr>
          <w:sz w:val="22"/>
          <w:szCs w:val="22"/>
          <w:lang w:val="en-US"/>
        </w:rPr>
        <w:t xml:space="preserve"> on-going</w:t>
      </w:r>
      <w:r w:rsidRPr="00B91E2F">
        <w:rPr>
          <w:sz w:val="22"/>
          <w:szCs w:val="22"/>
          <w:lang w:val="en-US"/>
        </w:rPr>
        <w:t xml:space="preserve"> changes, updates and validations</w:t>
      </w:r>
      <w:r>
        <w:rPr>
          <w:sz w:val="22"/>
          <w:szCs w:val="22"/>
          <w:lang w:val="en-US"/>
        </w:rPr>
        <w:t>, while the production is a stable server that contains the validated data and is available for users to query (</w:t>
      </w:r>
      <w:r w:rsidRPr="00CF2151">
        <w:rPr>
          <w:sz w:val="22"/>
          <w:szCs w:val="22"/>
          <w:lang w:val="en-US"/>
        </w:rPr>
        <w:t>http://bccluster.org/</w:t>
      </w:r>
      <w:r>
        <w:rPr>
          <w:sz w:val="22"/>
          <w:szCs w:val="22"/>
          <w:lang w:val="en-US"/>
        </w:rPr>
        <w:t>).</w:t>
      </w:r>
    </w:p>
    <w:p w:rsidR="00432515" w:rsidRDefault="00432515" w:rsidP="00432515">
      <w:pPr>
        <w:pStyle w:val="NormalWeb"/>
        <w:spacing w:line="600" w:lineRule="auto"/>
        <w:rPr>
          <w:lang w:val="en-US"/>
        </w:rPr>
      </w:pPr>
    </w:p>
    <w:p w:rsidR="00432515" w:rsidRDefault="00432515" w:rsidP="00432515">
      <w:pPr>
        <w:pStyle w:val="NormalWeb"/>
        <w:rPr>
          <w:lang w:val="en-US"/>
        </w:rPr>
      </w:pPr>
    </w:p>
    <w:p w:rsidR="00432515" w:rsidRPr="002357E6" w:rsidRDefault="00432515" w:rsidP="00432515">
      <w:pPr>
        <w:pStyle w:val="NormalWeb"/>
        <w:rPr>
          <w:lang w:val="en-US"/>
        </w:rPr>
      </w:pPr>
      <w:r w:rsidRPr="002357E6">
        <w:rPr>
          <w:sz w:val="28"/>
          <w:szCs w:val="28"/>
          <w:u w:val="single"/>
          <w:lang w:val="en-US"/>
        </w:rPr>
        <w:lastRenderedPageBreak/>
        <w:t>Supplementary Table Legends</w:t>
      </w:r>
    </w:p>
    <w:p w:rsidR="00432515" w:rsidRPr="002357E6" w:rsidRDefault="00432515" w:rsidP="00432515">
      <w:pPr>
        <w:pStyle w:val="NormalWeb"/>
        <w:spacing w:line="600" w:lineRule="auto"/>
        <w:rPr>
          <w:lang w:val="en-US"/>
        </w:rPr>
      </w:pPr>
      <w:r w:rsidRPr="002357E6">
        <w:rPr>
          <w:sz w:val="24"/>
          <w:szCs w:val="24"/>
          <w:lang w:val="en-US"/>
        </w:rPr>
        <w:t>Supplementary Table 1:</w:t>
      </w:r>
      <w:r w:rsidRPr="002357E6">
        <w:rPr>
          <w:lang w:val="en-US"/>
        </w:rPr>
        <w:t xml:space="preserve"> List of all references used in development of the muscle invasive BC </w:t>
      </w:r>
      <w:proofErr w:type="spellStart"/>
      <w:r w:rsidRPr="002357E6">
        <w:rPr>
          <w:lang w:val="en-US"/>
        </w:rPr>
        <w:t>interactome</w:t>
      </w:r>
      <w:proofErr w:type="spellEnd"/>
      <w:r w:rsidRPr="002357E6">
        <w:rPr>
          <w:lang w:val="en-US"/>
        </w:rPr>
        <w:t xml:space="preserve"> and BcCluster database. Provided is a list of 11</w:t>
      </w:r>
      <w:r>
        <w:rPr>
          <w:lang w:val="en-US"/>
        </w:rPr>
        <w:t>2</w:t>
      </w:r>
      <w:r w:rsidRPr="002357E6">
        <w:rPr>
          <w:lang w:val="en-US"/>
        </w:rPr>
        <w:t xml:space="preserve"> unique </w:t>
      </w:r>
      <w:proofErr w:type="spellStart"/>
      <w:r>
        <w:rPr>
          <w:lang w:val="en-US"/>
        </w:rPr>
        <w:t>MedLine</w:t>
      </w:r>
      <w:proofErr w:type="spellEnd"/>
      <w:r w:rsidRPr="002357E6">
        <w:rPr>
          <w:lang w:val="en-US"/>
        </w:rPr>
        <w:t xml:space="preserve"> references with the title and author details.</w:t>
      </w:r>
    </w:p>
    <w:tbl>
      <w:tblPr>
        <w:tblW w:w="5000" w:type="pct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00"/>
        <w:gridCol w:w="2422"/>
        <w:gridCol w:w="1539"/>
        <w:gridCol w:w="1507"/>
        <w:gridCol w:w="1417"/>
        <w:gridCol w:w="195"/>
      </w:tblGrid>
      <w:tr w:rsidR="00432515" w:rsidRPr="00A829E7" w:rsidTr="00F62BD4">
        <w:trPr>
          <w:trHeight w:val="2662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A829E7">
              <w:rPr>
                <w:lang w:val="en-US"/>
              </w:rPr>
              <w:t xml:space="preserve">Table S1. List of 112 publications used in </w:t>
            </w:r>
            <w:proofErr w:type="spellStart"/>
            <w:r w:rsidRPr="00A829E7">
              <w:rPr>
                <w:lang w:val="en-US"/>
              </w:rPr>
              <w:t>retreiving</w:t>
            </w:r>
            <w:proofErr w:type="spellEnd"/>
            <w:r w:rsidRPr="00A829E7">
              <w:rPr>
                <w:lang w:val="en-US"/>
              </w:rPr>
              <w:t xml:space="preserve"> molecules relative to muscle invasive bladder cancer. The title, reference and authors are listed. Information on the use of </w:t>
            </w:r>
            <w:proofErr w:type="spellStart"/>
            <w:r w:rsidRPr="00A829E7">
              <w:rPr>
                <w:lang w:val="en-US"/>
              </w:rPr>
              <w:t>neoadjuvant</w:t>
            </w:r>
            <w:proofErr w:type="spellEnd"/>
            <w:r w:rsidRPr="00A829E7">
              <w:rPr>
                <w:lang w:val="en-US"/>
              </w:rPr>
              <w:t xml:space="preserve"> chemotherapy is also provided. 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432515" w:rsidRPr="00A829E7" w:rsidRDefault="00432515" w:rsidP="00F62BD4">
            <w:pPr>
              <w:rPr>
                <w:lang w:val="en-US"/>
              </w:rPr>
            </w:pPr>
          </w:p>
          <w:p w:rsidR="00432515" w:rsidRPr="00A829E7" w:rsidRDefault="00432515" w:rsidP="00F62BD4">
            <w:pPr>
              <w:rPr>
                <w:lang w:val="en-US"/>
              </w:rPr>
            </w:pPr>
          </w:p>
          <w:p w:rsidR="00432515" w:rsidRPr="00A829E7" w:rsidRDefault="00432515" w:rsidP="00F62BD4">
            <w:pPr>
              <w:rPr>
                <w:lang w:val="en-US"/>
              </w:rPr>
            </w:pPr>
          </w:p>
          <w:p w:rsidR="00432515" w:rsidRPr="00A829E7" w:rsidRDefault="00432515" w:rsidP="00F62BD4">
            <w:pPr>
              <w:rPr>
                <w:lang w:val="en-US"/>
              </w:rPr>
            </w:pPr>
          </w:p>
          <w:p w:rsidR="00432515" w:rsidRPr="00A829E7" w:rsidRDefault="00432515" w:rsidP="00F62BD4">
            <w:pPr>
              <w:rPr>
                <w:lang w:val="en-US"/>
              </w:rPr>
            </w:pPr>
          </w:p>
          <w:p w:rsidR="00432515" w:rsidRPr="00A829E7" w:rsidRDefault="00432515" w:rsidP="00F62BD4">
            <w:pPr>
              <w:tabs>
                <w:tab w:val="left" w:pos="1164"/>
              </w:tabs>
              <w:rPr>
                <w:lang w:val="en-US"/>
              </w:rPr>
            </w:pPr>
            <w:r w:rsidRPr="00A829E7">
              <w:rPr>
                <w:lang w:val="en-US"/>
              </w:rPr>
              <w:tab/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(N/A not available)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829E7">
              <w:rPr>
                <w:b/>
                <w:bCs/>
                <w:sz w:val="24"/>
                <w:szCs w:val="24"/>
                <w:lang w:val="en-US"/>
              </w:rPr>
              <w:t>Title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829E7">
              <w:rPr>
                <w:b/>
                <w:bCs/>
                <w:sz w:val="24"/>
                <w:szCs w:val="24"/>
                <w:lang w:val="en-US"/>
              </w:rPr>
              <w:t>Reference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829E7">
              <w:rPr>
                <w:b/>
                <w:bCs/>
                <w:sz w:val="24"/>
                <w:szCs w:val="24"/>
                <w:lang w:val="en-US"/>
              </w:rPr>
              <w:t>Author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b/>
                <w:bCs/>
                <w:sz w:val="24"/>
                <w:szCs w:val="24"/>
                <w:lang w:val="en-US"/>
              </w:rPr>
              <w:t>MedLine</w:t>
            </w:r>
            <w:proofErr w:type="spellEnd"/>
            <w:r w:rsidRPr="00A829E7">
              <w:rPr>
                <w:b/>
                <w:bCs/>
                <w:sz w:val="24"/>
                <w:szCs w:val="24"/>
                <w:lang w:val="en-US"/>
              </w:rPr>
              <w:t xml:space="preserve"> ID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b/>
                <w:bCs/>
                <w:sz w:val="24"/>
                <w:szCs w:val="24"/>
                <w:lang w:val="en-US"/>
              </w:rPr>
              <w:t>neoadj</w:t>
            </w:r>
            <w:proofErr w:type="spellEnd"/>
            <w:r w:rsidRPr="00A829E7">
              <w:rPr>
                <w:b/>
                <w:bCs/>
                <w:sz w:val="24"/>
                <w:szCs w:val="24"/>
                <w:lang w:val="en-US"/>
              </w:rPr>
              <w:t xml:space="preserve"> chemo for patients undergoing cystectomy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Molecular pathogenesis and diagnostics of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Annu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Rev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Pathol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2009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;4:251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-85.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Mitra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AP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18840072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gramStart"/>
            <w:r w:rsidRPr="00A829E7">
              <w:rPr>
                <w:sz w:val="24"/>
                <w:szCs w:val="24"/>
                <w:lang w:val="en-US"/>
              </w:rPr>
              <w:t>p53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 xml:space="preserve"> expression in patients with advanced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cancer of the urinary bladder.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BJU Int. 2010 Feb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;105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(4):489-95.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Shariat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SF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19659466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gramStart"/>
            <w:r w:rsidRPr="00A829E7">
              <w:rPr>
                <w:sz w:val="24"/>
                <w:szCs w:val="24"/>
                <w:lang w:val="en-US"/>
              </w:rPr>
              <w:t>p53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 xml:space="preserve"> and RB expression predict progression in T1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Clin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Cancer Res. 1998 Apr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;4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(4):829-34.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Grossman HB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9563875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Elevated and absent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pRb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expression is associated with bladder cancer progression and has cooperative effects with p53.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Cancer Res. 1998 Mar 15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;58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(6):1090-4.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Cote RJ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9515785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Combined effects of p53, p21, and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pRb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expression in the </w:t>
            </w:r>
            <w:r w:rsidRPr="00A829E7">
              <w:rPr>
                <w:sz w:val="24"/>
                <w:szCs w:val="24"/>
                <w:lang w:val="en-US"/>
              </w:rPr>
              <w:lastRenderedPageBreak/>
              <w:t>progression of bladder transitional cell carcinoma.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 xml:space="preserve">J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Clin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Oncol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2004 Mar 15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;22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 xml:space="preserve">(6):1007-13.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Epub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2004 Feb 23.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Chatterjee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SJ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14981105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>Use of combined apoptosis biomarkers for prediction of bladder cancer recurrence and mortality after radical cystectomy.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Lancet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Oncol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2007 Feb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;8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(2):128-36.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Karam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JA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17267327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yes (16/226)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Thrombospondin-1 expression in bladder cancer: association with p53 alterations, tumor angiogenesis, and tumor progression.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J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Natl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Cancer Inst. 1997 Feb 5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;89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(3):219-27.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Grossfeld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GD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9017002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Effect of p21WAF1/CIP1 expression on tumor progression in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J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Natl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Cancer Inst. 1998 Jul 15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;90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(14):1072-9.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Stein JP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9672255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Multiple biomarkers improve prediction of bladder cancer recurrence and mortality in patients undergoing cystectomy.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Cancer. 2008 Jan 15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;112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(2):315-25.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Shariat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SF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18008359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Ki67 and Bcl-2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immunoexpression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in primitive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bladder carcinoma.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Rom J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Morphol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Embryol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2012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;53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(3):521-5.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Enache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M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22990542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Role of activating fibroblast growth factor receptor 3 mutations in the development of bladder tumors.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Clin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Cancer Res. 2005 Nov 1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;11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(21):7709-19.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Zieger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K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16278391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Long-term outcome related to epidermal growth factor </w:t>
            </w:r>
            <w:r w:rsidRPr="00A829E7">
              <w:rPr>
                <w:sz w:val="24"/>
                <w:szCs w:val="24"/>
                <w:lang w:val="en-US"/>
              </w:rPr>
              <w:lastRenderedPageBreak/>
              <w:t>receptor status in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>J Urol. 1995 Mar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;153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 xml:space="preserve">(3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Pt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2):919-25.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Mellon K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7853575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 xml:space="preserve">Distinctive expression pattern of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ErbB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family receptors signifies an aggressive variant of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J Urol. 2008 Jan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;179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 xml:space="preserve">(1):353-8.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Epub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2007 Nov 19.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Kassouf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W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18006009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Her-2/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neu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overexpression in muscle-invasive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carcinoma of the bladder: prognostic significance and comparative analysis in primary and metastatic tumors.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Clin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Cancer Res. 2001 Aug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;7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(8):2440-7.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Jimenez RE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11489824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159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HER2 overexpression in muscle-invasive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carcinoma of the bladder: prognostic implications.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Int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J Cancer. 2002 Dec 10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;102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(5):514-8.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Krüger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S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12432555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yes (10)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Human epidermal growth factor receptor 2 expression status provides independent prognostic information in patients with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carcinoma of the urinary bladder.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BJU Int. 2010 Oct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;106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(8):1216-22.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Bolenz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20089105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Expression and significance of vascular endothelial growth factor receptor 2 in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J Urol. 2006 Apr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;175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(4):1245-52.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Xia G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16515971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 xml:space="preserve">Stat3 activation in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stem cells leads to direct progression to invasive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Cancer Res. 2012 Jul 1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;72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(13):3135-42.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Ho PL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22532166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Vascular endothelial growth factor (VEGF), matrix metalloproteinase-9 (MMP-9), and thrombospondin-1 (TSP-1) expression in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carcinomas.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Pathol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Res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Pract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2009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;205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(12):854-7.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Donmez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G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19762163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Association of angiogenesis related markers with bladder cancer outcomes and other molecular markers.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J Urol. 2010 May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;183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(5):1744-50.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Shariat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SF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20299037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Thrombospondin-1 expression in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carcinoma: prognostic significance and association with p53 alterations,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tumour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angiogenesis and extracellular matrix components.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BMC Cancer. 2006 May 29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;6:140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Ioachim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E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16732887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Correlation of metastasis related gene expression and relapse-free survival in patients with locally advanced bladder cancer treated with cystectomy and chemotherapy.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J Urol. 2004 Feb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;171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 xml:space="preserve">(2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Pt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1):570-4.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Slaton JW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14713761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Imbalance between serum matrix metalloproteinase-2 </w:t>
            </w:r>
            <w:r w:rsidRPr="00A829E7">
              <w:rPr>
                <w:sz w:val="24"/>
                <w:szCs w:val="24"/>
                <w:lang w:val="en-US"/>
              </w:rPr>
              <w:lastRenderedPageBreak/>
              <w:t xml:space="preserve">and its inhibitor as a predictor of recurrence of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>Br J Cancer. 1998 Feb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;77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(4):650-5.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Gohji K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9484825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 xml:space="preserve">Role of matrix metalloproteinase-9 in the basement membrane destruction of superficial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carcinomas.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J Urol. 1999 Apr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;161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(4):1359-63.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Ozdemir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E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10081908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High levels of tissue inhibitor of metalloproteinase-2 (TIMP-2) expression are associated with poor outcome in invasive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Cancer Res. 1996 Apr 1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;56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(7):1654-9.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Grignon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DJ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8603416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Matrix metalloproteinase-2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immunoreactive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protein as a prognostic marker in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Urology. 2003 Nov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;62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(5):952-7.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Vasala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K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14624933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6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Significance of matrix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metalloproteinases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and tissue inhibitors of metalloproteinase expression in the recurrence of superficial transitional cell carcinoma of the bladder.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J Urol. 2001 May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;165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(5):1769-72.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Hara I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11342973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A multiplexed, particle-based flow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cytometric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assay identified plasma matrix metalloproteinase-7 to be associated with cancer-related </w:t>
            </w:r>
            <w:r w:rsidRPr="00A829E7">
              <w:rPr>
                <w:sz w:val="24"/>
                <w:szCs w:val="24"/>
                <w:lang w:val="en-US"/>
              </w:rPr>
              <w:lastRenderedPageBreak/>
              <w:t>death among patients with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>Cancer. 2010 Oct 1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;116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(19):4513-9.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Svatek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RS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20572047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yes (44/107)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 xml:space="preserve">Matrix metalloproteinase-1 is induced by epidermal growth factor in human bladder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tumour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cell lines and is detectable in urine of patients with bladder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tumours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Br J Cancer. 1998 Jul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;78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(2):215-20.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Nutt JE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9683296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Serum tissue inhibitor of metalloproteinase-2 (TIMP-2) and matrix metalloproteinase-2 in complex with the inhibitor (MMP-2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:TIMP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-2) as prognostic markers in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Clin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Biochem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2007 Jun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;40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(9-10):640-4.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Vasala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K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17374529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Low circulating levels of ProMMP-2 are associated with adverse prognosis in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Tumour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Biol. 2008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;29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(5):279-86.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Vasala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K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18802398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Predicting survival after radical cystectomy for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BJU Int. 2008 Jul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;102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(1):15-22.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Margulis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V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18325050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Prognostic values of matrix metalloproteinase-2 and tissue inhibitor of metalloproteinase-2 expression in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Cancer. 1998 Apr 1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;82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(7):1359-66.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Kanayama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H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9529029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Expression signature of E2F1 and its associated genes predict </w:t>
            </w:r>
            <w:r w:rsidRPr="00A829E7">
              <w:rPr>
                <w:sz w:val="24"/>
                <w:szCs w:val="24"/>
                <w:lang w:val="en-US"/>
              </w:rPr>
              <w:lastRenderedPageBreak/>
              <w:t>superficial to invasive progression of bladder tumors.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 xml:space="preserve">J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Clin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Oncol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2010 Jun 1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;28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(16):2660-7.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Lee JS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20421545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gramStart"/>
            <w:r w:rsidRPr="00A829E7">
              <w:rPr>
                <w:sz w:val="24"/>
                <w:szCs w:val="24"/>
                <w:lang w:val="en-US"/>
              </w:rPr>
              <w:lastRenderedPageBreak/>
              <w:t>c-Jun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 xml:space="preserve"> NH2 terminal kinase activation and decreased expression of mitogen-activated protein kinase phosphatase-1 play important roles in invasion and angiogenesis of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carcinomas.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Am J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Pathol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2007 Sep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;171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(3):1003-12.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Shimada K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17690186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Identification of common differentially expressed genes in urinary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PLoS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One. 2011 Apr 4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;6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(4):e18135.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Zaravinos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A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21483740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Cathepsin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E,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maspin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, Plk1, and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survivin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are promising prognostic protein markers for progression in non-muscle invasive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Am J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Pathol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2012 May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;180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(5):1824-34.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Fristrup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N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22449953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Androgen receptor expression is inversely correlated with pathologic tumor stage in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Urology. 2004 Aug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;64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(2):383-8.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Boorjian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S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15302512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Loss of androgen receptor expression is not associated with pathological stage, grade, gender or outcome in bladder cancer: a large multi-institutional study.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BJU Int. 2011 Jul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;108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(1):24-30.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Mir C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21070579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lastRenderedPageBreak/>
              <w:t>Survivin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and MKI67 mRNA expression in bladder washings of patients with superficial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cell carcinoma correlate with tumor stage and grade but do not predict tumor recurrence.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Clin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Chem. 2006 Jul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;52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(7):1440-2.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Schultz IJ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16798976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Cyclooxygenase-2 expression in bladder cancer and patient prognosis: results from a large clinical cohort and meta-analysis.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PLoS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One. 2012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;7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(9):e45025.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Czachorowski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MJ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23028744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Overexpression of cyclooxygenase-2 in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carcinoma in conjunction with tumor-associated-macrophage infiltration, hypoxia-inducible factor-1alpha expression, and tumor angiogenesis.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APMIS. 2009 Mar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;117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(3):176-84.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Chen WT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19245590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Angiogenesis in bladder cancer: relationship between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microvessel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density and tumor prognosis.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J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Natl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Cancer Inst. 1995 Nov 1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;87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(21):1603-12.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Bochner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BH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7563203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Decreased RECK and Increased EMMPRIN expression in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carcinoma of the bladder are associated with tumor </w:t>
            </w:r>
            <w:r w:rsidRPr="00A829E7">
              <w:rPr>
                <w:sz w:val="24"/>
                <w:szCs w:val="24"/>
                <w:lang w:val="en-US"/>
              </w:rPr>
              <w:lastRenderedPageBreak/>
              <w:t>aggressiveness.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>Pathobiology. 2011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;78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(3):123-31.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Wittschieber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D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21613799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 xml:space="preserve">High insulin-like growth factor mRNA-binding protein 3 (IMP3) protein 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expression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 xml:space="preserve"> is associated with poor survival in muscle-invasive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BJU Int. 2012 Sep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;110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 xml:space="preserve">(6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Pt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B):E308-17.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Szarvas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T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22500655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color w:val="000000"/>
              </w:rPr>
              <w:t xml:space="preserve">High expression of </w:t>
            </w:r>
            <w:proofErr w:type="spellStart"/>
            <w:r w:rsidRPr="00A829E7">
              <w:rPr>
                <w:color w:val="000000"/>
              </w:rPr>
              <w:t>karyopherin</w:t>
            </w:r>
            <w:proofErr w:type="spellEnd"/>
            <w:r w:rsidRPr="00A829E7">
              <w:rPr>
                <w:color w:val="000000"/>
              </w:rPr>
              <w:t>-α2 defines poor prognosis in non-muscle-invasive bladder cancer and in patients with invasive bladder cancer undergoing radical cystectomy.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Eur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Urol. 2011 May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;59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(5):841-8.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Jensen JB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21330047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Low ANXA10 expression is associated with disease aggressiveness in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Br J Cancer. 2011 Oct 25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;105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(9):1379-87.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Munksgaard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PP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21979422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no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High frequency of tumor cells with nuclear Egr-1 protein expression in human bladder cancer is associated with disease progression.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BMC Cancer. 2009 Oct 30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;9:385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Egerod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FL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19878561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Foxo3a suppression of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cancer invasiveness through Twist1, Y-box-binding protein 1, and E-cadherin regulation.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Clin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Cancer Res. 2010 Dec 1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;16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(23):5654-63.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Shiota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M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21138866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Increased expression of HMGB1 is associated with poor prognosis in human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J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Surg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Oncol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2012 Jul 1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;106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(1):57-61.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Yang GL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22237993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>Association of steroid and xenobiotic receptor (SXR) and multidrug resistance 1 (MDR1) gene expression with survival among patients with invasive bladder carcinoma.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BJU Int. 2011 Jun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;107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(11):1833-8.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Rioja J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20840328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Prognostic significance of altered p120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ctn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expression in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BJU Int. 2008 Mar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;101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(6):746-52.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Silva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Neto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B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17922855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Comprehensive molecular characterization of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bladder carcinoma.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Nature. 2014 Mar 20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;507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(7492):315-22.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Weinstein JN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24476821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Orphan nuclear receptor HNF4G promotes bladder cancer growth and invasion through the regulation of the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hyaluronan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synthase 2 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gene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Oncogenesis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2013 Jul 29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;2:e58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Okegawa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T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23896584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Clinical implications in the shift of syndecan-1 expression from the cell membrane to the cytoplasm in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BMC Cancer. 2014 Feb 13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;14:86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Miyake M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24524203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Transcriptome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profiling of a multiple recurrent muscle-invasive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carcinoma of the bladder by deep sequencing.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PLoS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One. 2014 Mar 12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;9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(3):e91466.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Zhang S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24622401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GATA binding protein 3 is down-</w:t>
            </w:r>
            <w:r w:rsidRPr="00A829E7">
              <w:rPr>
                <w:sz w:val="24"/>
                <w:szCs w:val="24"/>
                <w:lang w:val="en-US"/>
              </w:rPr>
              <w:lastRenderedPageBreak/>
              <w:t>regulated in bladder cancer yet strong expression is an independent predictor of poor prognosis in invasive tumor.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 xml:space="preserve">Hum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Pathol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. 2012 </w:t>
            </w:r>
            <w:r w:rsidRPr="00A829E7">
              <w:rPr>
                <w:sz w:val="24"/>
                <w:szCs w:val="24"/>
                <w:lang w:val="en-US"/>
              </w:rPr>
              <w:lastRenderedPageBreak/>
              <w:t>Nov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;43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(11):2033-40.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 xml:space="preserve">Miyamoto H </w:t>
            </w:r>
            <w:r w:rsidRPr="00A829E7">
              <w:rPr>
                <w:sz w:val="24"/>
                <w:szCs w:val="24"/>
                <w:lang w:val="en-US"/>
              </w:rPr>
              <w:lastRenderedPageBreak/>
              <w:t>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>22607700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 xml:space="preserve">Loss expression of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uroplakin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III is associated with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clinicopathologic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features of aggressive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Urology. 2008 Aug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;72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(2):444-9.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Matsumoto K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18313120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Whole-genome sequencing identifies genomic heterogeneity at a nucleotide and chromosomal level in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Proc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Natl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Acad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Sci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U S A. 2014 Feb 11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;111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(6):E672-81.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Morrison CD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24469795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yes (5)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SNAI1 protein expression is an independent negative prognosticator in muscle-invasive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Ann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Surg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Oncol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2013 Oct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;20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(11):3669-74.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Keck B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23807662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Preoperative serum C- reactive protein: a prognostic marker in patients with upper urinary tract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carcinoma.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BMC Cancer. 2013 Mar 6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;13:101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Stein B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23497335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C-reactive protein level predicts prognosis in patients with muscle-invasive bladder cancer treated with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chemoradiotherapy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BJU Int. 2008 Apr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;101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(8):978-81.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Yoshida S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18190628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yes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Loss of aquaporin 3 protein expression constitutes an </w:t>
            </w:r>
            <w:r w:rsidRPr="00A829E7">
              <w:rPr>
                <w:sz w:val="24"/>
                <w:szCs w:val="24"/>
                <w:lang w:val="en-US"/>
              </w:rPr>
              <w:lastRenderedPageBreak/>
              <w:t xml:space="preserve">independent prognostic factor for progression-free survival: an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immunohistochemical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study on stage pT1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>BMC Cancer. 2012 Oct 8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;12:459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Otto W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23043286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 xml:space="preserve">Low circulating serum levels of second mitochondria-derived activator of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caspase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Smac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/DIABLO) in patients with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Int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J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Oncol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2012 Apr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;40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(4):1246-50.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Mizutani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Y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22218530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Fra-1 controls motility of bladder cancer cells via transcriptional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upregulation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of the receptor tyrosine kinase AXL.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Oncogene. 2012 Mar 22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;31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(12):1493-503.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Sayan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AE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21822309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Increased expression of transcription factor TFAP2α correlates with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chemosensitivity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in advanced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BMC Cancer. 2011 Apr 14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;11:135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Nordentoft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I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21489314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no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CA19.9 and CEA in transitional cell carcinoma of the bladder: serological and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immunohistochemical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findings.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Anticancer Res. 2010 Dec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;30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(12):5195-200.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Hegele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A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21187512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Prognostic significance of replication protein A (RPA) expression levels in bladder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</w:t>
            </w:r>
            <w:r w:rsidRPr="00A829E7">
              <w:rPr>
                <w:sz w:val="24"/>
                <w:szCs w:val="24"/>
                <w:lang w:val="en-US"/>
              </w:rPr>
              <w:lastRenderedPageBreak/>
              <w:t>carcinoma.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>BJU Int. 2011 Jul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;108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 xml:space="preserve">(2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Pt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2):E59-65.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Levidou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G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21062395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>MRE11 expression is predictive of cause-specific survival following radical radiotherapy for muscle-invasive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Cancer Res. 2010 Sep 15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;70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(18):7017-26.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Choudhury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A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20843819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yes (3)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Galectin-3 expression is associated with bladder cancer progression and clinical outcome.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Tumour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Biol. 2010 Aug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;31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(4):277-85.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Canesin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G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20401558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HYAL-1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hyaluronidase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: a potential prognostic indicator for progression to muscle invasion and recurrence in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Eur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Urol. 2010 Jan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;57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(1):86-93.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Kramer MW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19345473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Gene expression study of Aurora-A reveals implication during bladder carcinogenesis and increasing values in invasive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Urology. 2008 Oct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;72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(4):873-7.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Compérat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E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18485461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Beclin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1 and bcl-2 expressions in bladder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tumors and their association with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clinicopathological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parameters.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Pathol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Res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Pract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2013 Jul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;209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(7):418-23.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Baspinar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S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23722017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Expression and function role of DNA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methyltransferase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1 in human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Cancer. 2011 Nov 15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;117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(22):5221-33.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Wu CT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21523767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Predictive value of </w:t>
            </w:r>
            <w:r w:rsidRPr="00A829E7">
              <w:rPr>
                <w:sz w:val="24"/>
                <w:szCs w:val="24"/>
                <w:lang w:val="en-US"/>
              </w:rPr>
              <w:lastRenderedPageBreak/>
              <w:t xml:space="preserve">topoisomerase II alpha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immunostaining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bladder carcinoma.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 xml:space="preserve">J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Clin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Pathol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. 2001 </w:t>
            </w:r>
            <w:r w:rsidRPr="00A829E7">
              <w:rPr>
                <w:sz w:val="24"/>
                <w:szCs w:val="24"/>
                <w:lang w:val="en-US"/>
              </w:rPr>
              <w:lastRenderedPageBreak/>
              <w:t>Apr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;54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(4):309-13.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lastRenderedPageBreak/>
              <w:t>Nakopoulou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L </w:t>
            </w:r>
            <w:r w:rsidRPr="00A829E7">
              <w:rPr>
                <w:sz w:val="24"/>
                <w:szCs w:val="24"/>
                <w:lang w:val="en-US"/>
              </w:rPr>
              <w:lastRenderedPageBreak/>
              <w:t>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>11304849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>Overexpression of fatty acid synthase in human urinary bladder cancer and combined expression of the synthase and Ki-67 as a predictor of prognosis of cancer patients.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Med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Mol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Morphol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2011 Sep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;44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(3):146-50.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Sugino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T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21922386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no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Expression of three extracellular matrix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degradative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enzymes in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Int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J Cancer. 2001 Sep 20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;95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(5):295-301.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Gohji K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11494228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Phosphorylated hepatocyte growth factor receptor/c-Met is associated with tumor growth and prognosis in patients with bladder cancer: correlation with matrix metalloproteinase-2 and -7 and E-cadherin.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Hum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Pathol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2009 Apr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;40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(4):496-504.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Miyata Y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19121849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Expression of Bmi-1 is a prognostic marker in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BMC Cancer. 2009 Feb 19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;9:61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Qin ZK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19228380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CIP2A protein expression in high-grade, high-stage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Cancer Med. 2012 Aug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(1):76-81.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Huang LP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23342256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Immunohistochemical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study of the expression of cell cycle regulating </w:t>
            </w:r>
            <w:r w:rsidRPr="00A829E7">
              <w:rPr>
                <w:sz w:val="24"/>
                <w:szCs w:val="24"/>
                <w:lang w:val="en-US"/>
              </w:rPr>
              <w:lastRenderedPageBreak/>
              <w:t>proteins at different stages of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 xml:space="preserve">J Cancer Res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Clin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Oncol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2002 Jun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;128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(6):295-301.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Primdahl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H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12073046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>Expression of S100A2 and S100A4 predicts for disease progression and patient survival in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Urology. 2007 Sep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;70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(3):602-7.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Matsumoto K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17688917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Stromelysin-3 expression in noninvasive and invasive neoplasms of the urinary bladder.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Hum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Pathol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2000 Jul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;31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(7):860-5.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Mueller J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10923925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A systematic analysis on DNA methylation and the expression of both mRNA and microRNA in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PLoS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One. 2011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;6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(11):e28223.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Zhu J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22140553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Molecular detection of noninvasive and invasive bladder tumor tissues and exfoliated cells by aberrant promoter methylation of laminin-5 encoding genes.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Cancer Res. 2004 Feb 15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;64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(4):1425-30.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Sathyanarayana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UG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14973053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Expression of transient receptor potential vanilloid-1 (TRPV1) in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cancers of human bladder: relation to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clinicopathological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and molecular parameters.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Histopathology. 2010 Nov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;57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(5):744-52.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Kalogris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21083604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Utility of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mRNA markers in blood for staging and monitoring </w:t>
            </w:r>
            <w:r w:rsidRPr="00A829E7">
              <w:rPr>
                <w:sz w:val="24"/>
                <w:szCs w:val="24"/>
                <w:lang w:val="en-US"/>
              </w:rPr>
              <w:lastRenderedPageBreak/>
              <w:t>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>Urology. 2012 Jan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;79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(1):240.e9-15.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Marín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-Aguilera M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22055693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yes (only 5/101 patients)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 xml:space="preserve">Expression of CD147, BIGH3 and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Stathmin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and their potential role as diagnostic marker in patients with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carcinoma of the bladder.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Clin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Chim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Acta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2012 Oct 9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;413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(19-20):1641-6.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Bhagirath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D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22626996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Defining molecular profiles of poor outcome in patients with invasive bladder cancer using oligonucleotide microarrays.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J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Clin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Oncol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2006 Feb 10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;24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 xml:space="preserve">(5):778-89.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Epub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2006 Jan 23.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Sanchez-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Carbayo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M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16432078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Metabolomic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profiling reveals potential markers and bioprocesses altered in bladder cancer progression.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Cancer Res. 2011 Dec 15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;71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(24):7376-86.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Putluri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N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21990318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Telomerase reverse transcriptase promoter mutations in bladder cancer: high frequency across stages, detection in urine, and lack of association with outcome.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Eur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Urol. 2014 Feb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;65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(2):360-6.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Allory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Y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24018021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Molecular biology of bladder cancer: new insights into pathogenesis and clinical diversity.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Nat Rev Cancer. 2015 Jan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;15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(1):25-41.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Knowles MA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25533674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The evolving understanding of microRNA in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Urol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Oncol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2014 Jan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;32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(1):41.e31-40.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Guancial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EA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23911686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Distinct microRNA alterations characterize high- </w:t>
            </w:r>
            <w:r w:rsidRPr="00A829E7">
              <w:rPr>
                <w:sz w:val="24"/>
                <w:szCs w:val="24"/>
                <w:lang w:val="en-US"/>
              </w:rPr>
              <w:lastRenderedPageBreak/>
              <w:t>and low-grade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>Cancer Res. 2009 Nov 1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;69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(21):8472-81.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Catto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JW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19843843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gramStart"/>
            <w:r w:rsidRPr="00A829E7">
              <w:rPr>
                <w:sz w:val="24"/>
                <w:szCs w:val="24"/>
                <w:lang w:val="en-US"/>
              </w:rPr>
              <w:lastRenderedPageBreak/>
              <w:t>microRNA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 xml:space="preserve"> expression profile in a large series of bladder tumors: identification of a 3-miRNA signature associated with aggressiveness of muscle-invasive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Int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J Cancer. 2013 Jun 1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;132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(11):2479-91.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Pignot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G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23169479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MicroRNA-124-3p inhibits cell migration and invasion in bladder cancer cells by targeting ROCK1.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J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Transl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Med. 2013 Nov 2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;11:276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Xu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X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24180482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MicroRNA-490-5p inhibits proliferation of bladder cancer by targeting c-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Fos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Biochem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Biophys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Res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Commun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2013 Nov 29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;441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(4):976-81.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Li S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24220339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MicroRNA-101 suppresses motility of bladder cancer cells by targeting c-Met.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Biochem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Biophys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Res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Commun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2013 May 24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;435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(1):82-7.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Hu Z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23618864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MicroRNA-23b functions as a tumor suppressor by regulating Zeb1 in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PLoS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One. 2013 Jul 2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;8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(7):e67686.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Majid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S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23844063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Oncogenic miRNA-182-5p targets Smad4 and RECK in human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PLoS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One. 2012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;7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(11):e51056.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Hirata H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23226455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Hedgehog pathway activation in human transitional cell carcinoma of the bladder.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Br J Cancer. 2012 Mar 13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;106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(6):1177-86.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Pignot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G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22361633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MicroRNA expression </w:t>
            </w:r>
            <w:r w:rsidRPr="00A829E7">
              <w:rPr>
                <w:sz w:val="24"/>
                <w:szCs w:val="24"/>
                <w:lang w:val="en-US"/>
              </w:rPr>
              <w:lastRenderedPageBreak/>
              <w:t>signatures of bladder cancer revealed by deep sequencing.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lastRenderedPageBreak/>
              <w:t>PLoS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One. 2011 Mar </w:t>
            </w:r>
            <w:r w:rsidRPr="00A829E7">
              <w:rPr>
                <w:sz w:val="24"/>
                <w:szCs w:val="24"/>
                <w:lang w:val="en-US"/>
              </w:rPr>
              <w:lastRenderedPageBreak/>
              <w:t>28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;6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(3):e18286.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>Han Y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21464941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>Functional role of LASP1 in cell viability and its regulation by microRNAs in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Urol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Oncol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2012 Jul-Aug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;30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(4):434-43.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Chiyomaru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T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20843712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Coordinated epigenetic repression of the miR-200 family and miR-205 in invasive bladder cancer.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Int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J Cancer. 2011 Mar 15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;128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(6):1327-34.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Wiklund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ED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20473948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gramStart"/>
            <w:r w:rsidRPr="00A829E7">
              <w:rPr>
                <w:sz w:val="24"/>
                <w:szCs w:val="24"/>
                <w:lang w:val="en-US"/>
              </w:rPr>
              <w:t>miR-9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, a MYC/MYCN-activated microRNA, regulates E-cadherin and cancer metastasis.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Nat Cell Biol. 2010 Mar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;12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(3):247-56.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Ma L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20173740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Genomic profiling of microRNAs in bladder cancer: miR-129 is associated with poor outcome and promotes cell death in vitro.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Cancer Res. 2009 Jun 1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;69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(11):4851-60.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Dyrskjøt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L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19487295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Protein shedding in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urothelial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bladder cancer: prognostic implications of soluble urinary EGFR and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EpCAM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Br J Cancer. 2015 Mar 17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;112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(6):1052-8.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Bryan RT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25719831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Highly sensitive and specific novel biomarkers for the diagnosis of transitional bladder carcinoma.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Oncotarget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>. 2015 Apr 15. [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Epub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ahead of print]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Kumar P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25915536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Bladder cancer </w:t>
            </w:r>
            <w:r w:rsidRPr="00A829E7">
              <w:rPr>
                <w:sz w:val="24"/>
                <w:szCs w:val="24"/>
                <w:lang w:val="en-US"/>
              </w:rPr>
              <w:lastRenderedPageBreak/>
              <w:t>determination via two urinary metabolites: a biomarker pattern approach.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lastRenderedPageBreak/>
              <w:t>Mol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Cell Proteomics. </w:t>
            </w:r>
            <w:r w:rsidRPr="00A829E7">
              <w:rPr>
                <w:sz w:val="24"/>
                <w:szCs w:val="24"/>
                <w:lang w:val="en-US"/>
              </w:rPr>
              <w:lastRenderedPageBreak/>
              <w:t>2011 Oct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;10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(10):M111.007922.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>Huang Z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21799048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3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lastRenderedPageBreak/>
              <w:t xml:space="preserve">Bladder cancer biomarker discovery using global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metabolomic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profiling of urine.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PLoS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One. 2014 Dec 26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;9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(12):e115870.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Wittmann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BM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25541698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  <w:tr w:rsidR="00432515" w:rsidRPr="00A829E7" w:rsidTr="00F62BD4">
        <w:trPr>
          <w:trHeight w:val="600"/>
        </w:trPr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 xml:space="preserve">Development of a universal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metabolome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-standard method for long-term LC-MS </w:t>
            </w:r>
            <w:proofErr w:type="spellStart"/>
            <w:r w:rsidRPr="00A829E7">
              <w:rPr>
                <w:sz w:val="24"/>
                <w:szCs w:val="24"/>
                <w:lang w:val="en-US"/>
              </w:rPr>
              <w:t>metabolome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profiling and its application for bladder cancer urine-metabolite-biomarker discovery.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Anal Chem. 2014 Jul 1</w:t>
            </w:r>
            <w:proofErr w:type="gramStart"/>
            <w:r w:rsidRPr="00A829E7">
              <w:rPr>
                <w:sz w:val="24"/>
                <w:szCs w:val="24"/>
                <w:lang w:val="en-US"/>
              </w:rPr>
              <w:t>;86</w:t>
            </w:r>
            <w:proofErr w:type="gramEnd"/>
            <w:r w:rsidRPr="00A829E7">
              <w:rPr>
                <w:sz w:val="24"/>
                <w:szCs w:val="24"/>
                <w:lang w:val="en-US"/>
              </w:rPr>
              <w:t>(13):6540-7.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proofErr w:type="spellStart"/>
            <w:r w:rsidRPr="00A829E7">
              <w:rPr>
                <w:sz w:val="24"/>
                <w:szCs w:val="24"/>
                <w:lang w:val="en-US"/>
              </w:rPr>
              <w:t>Peng</w:t>
            </w:r>
            <w:proofErr w:type="spellEnd"/>
            <w:r w:rsidRPr="00A829E7">
              <w:rPr>
                <w:sz w:val="24"/>
                <w:szCs w:val="24"/>
                <w:lang w:val="en-US"/>
              </w:rPr>
              <w:t xml:space="preserve"> J et.al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24877652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 w:rsidRPr="00A829E7">
              <w:rPr>
                <w:sz w:val="24"/>
                <w:szCs w:val="24"/>
                <w:lang w:val="en-US"/>
              </w:rPr>
              <w:t>N/A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</w:tcPr>
          <w:p w:rsidR="00432515" w:rsidRPr="00A829E7" w:rsidRDefault="00432515" w:rsidP="00F62B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</w:tc>
      </w:tr>
    </w:tbl>
    <w:p w:rsidR="00432515" w:rsidRDefault="00432515" w:rsidP="00432515"/>
    <w:p w:rsidR="00432515" w:rsidRDefault="00432515" w:rsidP="00432515"/>
    <w:p w:rsidR="00432515" w:rsidRPr="002357E6" w:rsidRDefault="00432515" w:rsidP="00432515">
      <w:pPr>
        <w:pStyle w:val="NormalWeb"/>
        <w:ind w:left="640" w:hanging="640"/>
        <w:rPr>
          <w:lang w:val="en-US"/>
        </w:rPr>
      </w:pPr>
    </w:p>
    <w:p w:rsidR="00432515" w:rsidRPr="002357E6" w:rsidRDefault="00432515" w:rsidP="00432515">
      <w:pPr>
        <w:pStyle w:val="NormalWeb"/>
        <w:ind w:left="640" w:hanging="640"/>
        <w:rPr>
          <w:lang w:val="en-US"/>
        </w:rPr>
      </w:pPr>
    </w:p>
    <w:p w:rsidR="00FB50D5" w:rsidRDefault="00FB50D5"/>
    <w:sectPr w:rsidR="00FB50D5" w:rsidSect="006726C7">
      <w:headerReference w:type="default" r:id="rId9"/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63EA">
      <w:pPr>
        <w:spacing w:after="0" w:line="240" w:lineRule="auto"/>
      </w:pPr>
      <w:r>
        <w:separator/>
      </w:r>
    </w:p>
  </w:endnote>
  <w:endnote w:type="continuationSeparator" w:id="0">
    <w:p w:rsidR="00000000" w:rsidRDefault="00FB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A4" w:rsidRDefault="00432515" w:rsidP="001F53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44A4" w:rsidRDefault="00FB63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A4" w:rsidRDefault="00432515" w:rsidP="001F53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3EA">
      <w:rPr>
        <w:rStyle w:val="PageNumber"/>
        <w:noProof/>
      </w:rPr>
      <w:t>1</w:t>
    </w:r>
    <w:r>
      <w:rPr>
        <w:rStyle w:val="PageNumber"/>
      </w:rPr>
      <w:fldChar w:fldCharType="end"/>
    </w:r>
  </w:p>
  <w:p w:rsidR="000F44A4" w:rsidRDefault="00FB63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63EA">
      <w:pPr>
        <w:spacing w:after="0" w:line="240" w:lineRule="auto"/>
      </w:pPr>
      <w:r>
        <w:separator/>
      </w:r>
    </w:p>
  </w:footnote>
  <w:footnote w:type="continuationSeparator" w:id="0">
    <w:p w:rsidR="00000000" w:rsidRDefault="00FB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4A4" w:rsidRDefault="00FB63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15"/>
    <w:rsid w:val="00432515"/>
    <w:rsid w:val="00FB50D5"/>
    <w:rsid w:val="00F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15"/>
    <w:pPr>
      <w:suppressAutoHyphens/>
      <w:spacing w:after="160" w:line="256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32515"/>
    <w:pPr>
      <w:suppressAutoHyphens w:val="0"/>
      <w:spacing w:before="100" w:beforeAutospacing="1" w:after="100" w:afterAutospacing="1" w:line="240" w:lineRule="auto"/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4325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515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325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515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uiPriority w:val="99"/>
    <w:semiHidden/>
    <w:rsid w:val="00432515"/>
    <w:rPr>
      <w:rFonts w:cs="Times New Roman"/>
    </w:rPr>
  </w:style>
  <w:style w:type="paragraph" w:styleId="ListParagraph">
    <w:name w:val="List Paragraph"/>
    <w:basedOn w:val="Normal"/>
    <w:uiPriority w:val="99"/>
    <w:qFormat/>
    <w:rsid w:val="00432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515"/>
    <w:rPr>
      <w:rFonts w:ascii="Tahoma" w:eastAsia="MS Mincho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15"/>
    <w:pPr>
      <w:suppressAutoHyphens/>
      <w:spacing w:after="160" w:line="256" w:lineRule="auto"/>
    </w:pPr>
    <w:rPr>
      <w:rFonts w:ascii="Times New Roman" w:eastAsia="MS Mincho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32515"/>
    <w:pPr>
      <w:suppressAutoHyphens w:val="0"/>
      <w:spacing w:before="100" w:beforeAutospacing="1" w:after="100" w:afterAutospacing="1" w:line="240" w:lineRule="auto"/>
    </w:pPr>
    <w:rPr>
      <w:rFonts w:ascii="Times" w:hAnsi="Times"/>
    </w:rPr>
  </w:style>
  <w:style w:type="paragraph" w:styleId="Header">
    <w:name w:val="header"/>
    <w:basedOn w:val="Normal"/>
    <w:link w:val="HeaderChar"/>
    <w:uiPriority w:val="99"/>
    <w:rsid w:val="004325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515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325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515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uiPriority w:val="99"/>
    <w:semiHidden/>
    <w:rsid w:val="00432515"/>
    <w:rPr>
      <w:rFonts w:cs="Times New Roman"/>
    </w:rPr>
  </w:style>
  <w:style w:type="paragraph" w:styleId="ListParagraph">
    <w:name w:val="List Paragraph"/>
    <w:basedOn w:val="Normal"/>
    <w:uiPriority w:val="99"/>
    <w:qFormat/>
    <w:rsid w:val="004325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515"/>
    <w:rPr>
      <w:rFonts w:ascii="Tahoma" w:eastAsia="MS Mincho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2</cp:revision>
  <dcterms:created xsi:type="dcterms:W3CDTF">2016-01-06T11:31:00Z</dcterms:created>
  <dcterms:modified xsi:type="dcterms:W3CDTF">2016-01-28T05:05:00Z</dcterms:modified>
</cp:coreProperties>
</file>