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C" w:rsidRPr="00EE09D8" w:rsidRDefault="00530687" w:rsidP="00EE09D8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A"/>
          <w:sz w:val="40"/>
          <w:szCs w:val="40"/>
          <w:lang w:val="en-US"/>
        </w:rPr>
      </w:pPr>
      <w:r w:rsidRPr="00EE09D8">
        <w:rPr>
          <w:rFonts w:ascii="Times New Roman" w:hAnsi="Times New Roman" w:cs="Times New Roman"/>
          <w:b/>
          <w:color w:val="00000A"/>
          <w:sz w:val="40"/>
          <w:szCs w:val="40"/>
          <w:lang w:val="en-US"/>
        </w:rPr>
        <w:t>Supplementary Material</w:t>
      </w:r>
    </w:p>
    <w:p w:rsidR="00EE09D8" w:rsidRDefault="00EE09D8" w:rsidP="00EE09D8">
      <w:pPr>
        <w:pStyle w:val="BodyText"/>
        <w:spacing w:line="24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EE09D8" w:rsidRDefault="00EE09D8" w:rsidP="00EE09D8">
      <w:pPr>
        <w:pStyle w:val="BodyText"/>
        <w:spacing w:line="240" w:lineRule="auto"/>
        <w:rPr>
          <w:rFonts w:ascii="Times New Roman" w:hAnsi="Times New Roman" w:cs="Times New Roman"/>
          <w:b/>
          <w:lang w:val="en-US"/>
        </w:rPr>
      </w:pPr>
      <w:r w:rsidRPr="00EE09D8">
        <w:rPr>
          <w:rFonts w:ascii="Times New Roman" w:hAnsi="Times New Roman" w:cs="Times New Roman"/>
          <w:b/>
          <w:lang w:val="en-US"/>
        </w:rPr>
        <w:t xml:space="preserve">HSP90 and Its Novel Co-Chaperones, SGT1 and CHP-1, in Brain of Patients with Parkinson’s Disease and Dementia with Lewy Bodies  </w:t>
      </w:r>
    </w:p>
    <w:p w:rsidR="00EE09D8" w:rsidRDefault="00EE09D8" w:rsidP="00EE09D8">
      <w:pPr>
        <w:pStyle w:val="BodyText"/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EE09D8" w:rsidRPr="00EE09D8" w:rsidRDefault="00EE09D8" w:rsidP="00EE09D8">
      <w:pPr>
        <w:pStyle w:val="BodyText"/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E8714F" w:rsidRPr="00EE09D8" w:rsidRDefault="00E8714F" w:rsidP="00EE09D8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</w:p>
    <w:p w:rsidR="007B1BDA" w:rsidRDefault="007B1BDA" w:rsidP="009C0E30">
      <w:pPr>
        <w:pStyle w:val="Heading1"/>
        <w:spacing w:before="0" w:line="480" w:lineRule="auto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0960D8" wp14:editId="38D508A6">
            <wp:extent cx="5760720" cy="4362450"/>
            <wp:effectExtent l="0" t="0" r="0" b="0"/>
            <wp:docPr id="4" name="Obraz 4" descr="F:\Users\anfil\Desktop\JPD revision\Revision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anfil\Desktop\JPD revision\Revision\Fig. S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2C" w:rsidRPr="00344DBC" w:rsidRDefault="00EE09D8" w:rsidP="00EE09D8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 xml:space="preserve">Supplementary </w:t>
      </w:r>
      <w:r w:rsidR="005F402C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Fig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 xml:space="preserve">ure </w:t>
      </w:r>
      <w:r w:rsidR="005F402C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1.</w:t>
      </w:r>
      <w:r w:rsidR="005F402C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 w:rsidR="005F402C" w:rsidRPr="00C23617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 xml:space="preserve">Immunohistochemical </w:t>
      </w:r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stain</w:t>
      </w:r>
      <w:r w:rsidR="005F402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ing</w:t>
      </w:r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5F402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o</w:t>
      </w:r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f </w:t>
      </w:r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l-GR"/>
        </w:rPr>
        <w:t>α</w:t>
      </w:r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-synuclein in the substantia </w:t>
      </w:r>
      <w:proofErr w:type="spellStart"/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nigra</w:t>
      </w:r>
      <w:proofErr w:type="spellEnd"/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o</w:t>
      </w:r>
      <w:r w:rsidR="005F402C" w:rsidRPr="00344DB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f a PD patient showing Lewy bodies. </w:t>
      </w:r>
      <w:r w:rsidR="005F402C" w:rsidRPr="00860309">
        <w:rPr>
          <w:rFonts w:ascii="Times New Roman" w:hAnsi="Times New Roman" w:cs="Times New Roman"/>
          <w:color w:val="auto"/>
          <w:sz w:val="24"/>
          <w:szCs w:val="24"/>
          <w:lang w:val="en-US"/>
        </w:rPr>
        <w:t>Microscope image with 20x magnification</w:t>
      </w:r>
      <w:r w:rsidR="005F40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is shown</w:t>
      </w:r>
      <w:r w:rsidR="005F402C" w:rsidRPr="00344DB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5F402C" w:rsidRDefault="005F402C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BDA" w:rsidRDefault="007B1BDA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6828AC0" wp14:editId="0911EC3A">
            <wp:extent cx="5760720" cy="4065270"/>
            <wp:effectExtent l="0" t="0" r="0" b="0"/>
            <wp:docPr id="5" name="Obraz 5" descr="F:\Users\anfil\Desktop\JPD revision\Revision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sers\anfil\Desktop\JPD revision\Revision\Fig. S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DA" w:rsidRDefault="007B1BDA" w:rsidP="00EE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02C" w:rsidRPr="00C360AD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00FF0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Figure 2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Level of HSP90 in the substantia </w:t>
      </w:r>
      <w:proofErr w:type="spellStart"/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nigra</w:t>
      </w:r>
      <w:proofErr w:type="spellEnd"/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, frontal and temporal cortex.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02C" w:rsidRPr="00EE09D8">
        <w:rPr>
          <w:rFonts w:ascii="Times New Roman" w:hAnsi="Times New Roman" w:cs="Times New Roman"/>
          <w:sz w:val="24"/>
          <w:szCs w:val="24"/>
          <w:lang w:val="en-US"/>
        </w:rPr>
        <w:t>(A) Western blot (upper panel) and densitometric analysis of HSP90 level (lower panel). (B) RT-qPCR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of HSP90 mRNA level. In (A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and (B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samples from 3 control and 3 DLB patients were analyzed. White and </w:t>
      </w:r>
      <w:r w:rsidR="005F402C" w:rsidRPr="003511BF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bars represent control and DLB cases, respectively. Error bars indicate mean ± SEM; ***p&lt;0.001. </w:t>
      </w:r>
    </w:p>
    <w:p w:rsidR="005F402C" w:rsidRPr="00A67FE8" w:rsidRDefault="005F402C" w:rsidP="009C0E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00FF00"/>
          <w:lang w:val="en-US"/>
        </w:rPr>
      </w:pPr>
    </w:p>
    <w:p w:rsidR="007B1BDA" w:rsidRDefault="007B1BDA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0880D03" wp14:editId="7E67D2E6">
            <wp:extent cx="5760720" cy="4065270"/>
            <wp:effectExtent l="0" t="0" r="0" b="0"/>
            <wp:docPr id="6" name="Obraz 6" descr="F:\Users\anfil\Desktop\JPD revision\Revision\Fig. 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Users\anfil\Desktop\JPD revision\Revision\Fig. S3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DA" w:rsidRDefault="007B1BDA" w:rsidP="00EE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02C" w:rsidRPr="00C360AD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00FF0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Figure 3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Level of SGT1 in the substantia </w:t>
      </w:r>
      <w:proofErr w:type="spellStart"/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nigra</w:t>
      </w:r>
      <w:proofErr w:type="spellEnd"/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, frontal and temporal cortex.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(A)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Western blot (upper panel) and densitometric analysis of SGT1 level (lower panel). 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RT-qPCR of SGT1 mRNA level. In (A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and (B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samples from 3 control and 3 DLB patients were analyzed. White and </w:t>
      </w:r>
      <w:r w:rsidR="005F402C" w:rsidRPr="003511BF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bars represent control and DLB cases, respectively. Error bars indicate mean ± SEM; ***p&lt;0.001. </w:t>
      </w:r>
    </w:p>
    <w:p w:rsidR="005F402C" w:rsidRPr="00A67FE8" w:rsidRDefault="005F402C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00FF00"/>
          <w:lang w:val="en-US"/>
        </w:rPr>
      </w:pPr>
    </w:p>
    <w:p w:rsidR="007B1BDA" w:rsidRDefault="007B1BDA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BDA" w:rsidRDefault="007B1BDA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BDA" w:rsidRDefault="007B1BDA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8F1ED70" wp14:editId="442E86B4">
            <wp:extent cx="5760720" cy="4065270"/>
            <wp:effectExtent l="0" t="0" r="0" b="0"/>
            <wp:docPr id="7" name="Obraz 7" descr="F:\Users\anfil\Desktop\JPD revision\Revision\Fig. 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Users\anfil\Desktop\JPD revision\Revision\Fig. S4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8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02C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00FF0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Figure 4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Level of CHP-1 in the substantia </w:t>
      </w:r>
      <w:proofErr w:type="spellStart"/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nigra</w:t>
      </w:r>
      <w:proofErr w:type="spellEnd"/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, frontal and temporal cortex.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(A)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Western blot (upper panel) and densitometric analysis of CHP-1 level (lower panel). 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RT-qPCR of CHP-1 mRNA level. In (A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and (B</w:t>
      </w:r>
      <w:r w:rsidR="005F402C" w:rsidRPr="00C360A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samples from 3 control and 3 DLB patients were analyzed. White and </w:t>
      </w:r>
      <w:r w:rsidR="005F402C" w:rsidRPr="003511BF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5F402C" w:rsidRPr="00C360AD">
        <w:rPr>
          <w:rFonts w:ascii="Times New Roman" w:hAnsi="Times New Roman" w:cs="Times New Roman"/>
          <w:sz w:val="24"/>
          <w:szCs w:val="24"/>
          <w:lang w:val="en-US"/>
        </w:rPr>
        <w:t xml:space="preserve"> bars represent control and DLB cases, respectively. Error bars indicate mean ± SEM; *p&lt;0.05; **p&lt;0.01; ***p&lt;0.001.</w:t>
      </w:r>
      <w:r w:rsidR="005F4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402C" w:rsidRDefault="005F402C" w:rsidP="009C0E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09D8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EE09D8" w:rsidSect="00E3117A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09D8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1. D</w:t>
      </w:r>
      <w:r w:rsidRPr="000B58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ata regarding control patients. </w:t>
      </w:r>
      <w:r w:rsidRPr="000B5826">
        <w:rPr>
          <w:rFonts w:ascii="Times New Roman" w:hAnsi="Times New Roman" w:cs="Times New Roman"/>
          <w:sz w:val="24"/>
          <w:szCs w:val="24"/>
          <w:lang w:val="en-US"/>
        </w:rPr>
        <w:t>PM, postmortem delay in hours;</w:t>
      </w:r>
      <w:r w:rsidRPr="000B58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Braak &amp; Braak, neurofibrillary tangle staging after Braak &amp; Braak [34]; CERAD [35, 36]; Braak et al. [37]; NIA </w:t>
      </w:r>
      <w:proofErr w:type="spellStart"/>
      <w:r w:rsidRPr="000B5826">
        <w:rPr>
          <w:rFonts w:ascii="Times New Roman" w:hAnsi="Times New Roman" w:cs="Times New Roman"/>
          <w:sz w:val="24"/>
          <w:szCs w:val="24"/>
          <w:lang w:val="en-GB"/>
        </w:rPr>
        <w:t>Montine</w:t>
      </w:r>
      <w:proofErr w:type="spellEnd"/>
      <w:r w:rsidRPr="000B5826">
        <w:rPr>
          <w:rFonts w:ascii="Times New Roman" w:hAnsi="Times New Roman" w:cs="Times New Roman"/>
          <w:sz w:val="24"/>
          <w:szCs w:val="24"/>
          <w:lang w:val="en-GB"/>
        </w:rPr>
        <w:t xml:space="preserve"> et al. 2012</w:t>
      </w:r>
      <w:r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[38, 39]; </w:t>
      </w:r>
      <w:proofErr w:type="spellStart"/>
      <w:r w:rsidRPr="000B5826">
        <w:rPr>
          <w:rFonts w:ascii="Times New Roman" w:hAnsi="Times New Roman" w:cs="Times New Roman"/>
          <w:sz w:val="24"/>
          <w:szCs w:val="24"/>
          <w:lang w:val="en-US"/>
        </w:rPr>
        <w:t>McKeith</w:t>
      </w:r>
      <w:proofErr w:type="spellEnd"/>
      <w:r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et al. [40]; CAA, cerebral amyloid angiopathy; LB-FC, LB-TC, LB-SN; presence of Lewy bodies in the frontal cortex, temporal cortex, and in the substantia </w:t>
      </w:r>
      <w:proofErr w:type="spellStart"/>
      <w:r w:rsidRPr="000B5826">
        <w:rPr>
          <w:rFonts w:ascii="Times New Roman" w:hAnsi="Times New Roman" w:cs="Times New Roman"/>
          <w:sz w:val="24"/>
          <w:szCs w:val="24"/>
          <w:lang w:val="en-US"/>
        </w:rPr>
        <w:t>nigra</w:t>
      </w:r>
      <w:proofErr w:type="spellEnd"/>
      <w:r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, respectively. 0, absent; NA, not applicable;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NSTEMI,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Non </w:t>
      </w:r>
      <w:r w:rsidRPr="000B5826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ST</w:t>
      </w:r>
      <w:proofErr w:type="gramEnd"/>
      <w:r w:rsidRPr="000B5826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-segment elevation myocardial infarction;</w:t>
      </w:r>
      <w:r w:rsidRPr="000B5826">
        <w:rPr>
          <w:lang w:val="en-US"/>
        </w:rPr>
        <w:t xml:space="preserve"> </w:t>
      </w:r>
      <w:r w:rsidRPr="000B5826">
        <w:rPr>
          <w:rFonts w:ascii="Times New Roman" w:hAnsi="Times New Roman" w:cs="Times New Roman"/>
          <w:sz w:val="24"/>
          <w:szCs w:val="24"/>
          <w:lang w:val="en-US"/>
        </w:rPr>
        <w:t>M, male, F, female.</w:t>
      </w:r>
    </w:p>
    <w:p w:rsidR="00EE09D8" w:rsidRPr="007F2476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56"/>
        <w:gridCol w:w="496"/>
        <w:gridCol w:w="581"/>
        <w:gridCol w:w="1790"/>
        <w:gridCol w:w="2070"/>
        <w:gridCol w:w="1301"/>
        <w:gridCol w:w="785"/>
        <w:gridCol w:w="961"/>
        <w:gridCol w:w="563"/>
        <w:gridCol w:w="643"/>
        <w:gridCol w:w="821"/>
        <w:gridCol w:w="483"/>
        <w:gridCol w:w="483"/>
        <w:gridCol w:w="483"/>
      </w:tblGrid>
      <w:tr w:rsidR="00EE09D8" w:rsidRPr="000B5826" w:rsidTr="00EE09D8">
        <w:trPr>
          <w:trHeight w:val="206"/>
        </w:trPr>
        <w:tc>
          <w:tcPr>
            <w:tcW w:w="812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val="en-US"/>
              </w:rPr>
              <w:t>Controls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Sex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Age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PM delay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Clinical Diagnosis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Neuropathology Diagnoses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Braak &amp; Braak Neurofibrillary Tangle Stages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CERAD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NIA-</w:t>
            </w:r>
            <w:r w:rsidRPr="00EE09D8">
              <w:rPr>
                <w:rFonts w:ascii="AdvPTimesB" w:hAnsi="AdvPTimesB" w:cs="AdvPTimesB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09D8">
              <w:rPr>
                <w:rFonts w:ascii="AdvPTimesB" w:hAnsi="AdvPTimesB" w:cs="AdvPTimesB"/>
                <w:b/>
                <w:sz w:val="16"/>
                <w:szCs w:val="16"/>
                <w:lang w:val="en-US"/>
              </w:rPr>
              <w:t>Montine</w:t>
            </w:r>
            <w:proofErr w:type="spellEnd"/>
            <w:r w:rsidRPr="00EE09D8">
              <w:rPr>
                <w:rFonts w:ascii="AdvPTimesB" w:hAnsi="AdvPTimesB" w:cs="AdvPTimesB"/>
                <w:b/>
                <w:sz w:val="16"/>
                <w:szCs w:val="16"/>
                <w:lang w:val="en-US"/>
              </w:rPr>
              <w:t xml:space="preserve"> et al. 2012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CAA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Braak et al.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proofErr w:type="spellStart"/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McKeith</w:t>
            </w:r>
            <w:proofErr w:type="spellEnd"/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 xml:space="preserve"> et al.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LB-FC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LB-TC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LB-SN</w:t>
            </w:r>
          </w:p>
        </w:tc>
      </w:tr>
      <w:tr w:rsidR="00EE09D8" w:rsidRPr="000B5826" w:rsidTr="00EE09D8">
        <w:trPr>
          <w:trHeight w:val="206"/>
        </w:trPr>
        <w:tc>
          <w:tcPr>
            <w:tcW w:w="812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10032-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M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59</w:t>
            </w:r>
            <w:r w:rsid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.</w:t>
            </w: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24</w:t>
            </w:r>
            <w:r w:rsid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.</w:t>
            </w: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Dilatative cardiomyopathy, Chronic alcoholism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:lang w:val="en-US"/>
              </w:rPr>
              <w:t>Braak &amp; Braak stage II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I-II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</w:tr>
      <w:tr w:rsidR="00EE09D8" w:rsidRPr="000B5826" w:rsidTr="00EE09D8">
        <w:trPr>
          <w:trHeight w:val="206"/>
        </w:trPr>
        <w:tc>
          <w:tcPr>
            <w:tcW w:w="812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10087-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M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0B5826" w:rsidRPr="00EE09D8" w:rsidRDefault="00EE09D8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74.</w:t>
            </w:r>
            <w:r w:rsidR="000B5826"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0B5826" w:rsidRPr="00EE09D8" w:rsidRDefault="00EE09D8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20.</w:t>
            </w:r>
            <w:r w:rsidR="000B5826"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Aspiration pneumonia, Dysphagia of unknown cause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:lang w:val="en-US"/>
              </w:rPr>
              <w:t>Braak &amp; Braak stage I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I-II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</w:tr>
      <w:tr w:rsidR="00EE09D8" w:rsidRPr="000B5826" w:rsidTr="00EE09D8">
        <w:trPr>
          <w:trHeight w:val="361"/>
        </w:trPr>
        <w:tc>
          <w:tcPr>
            <w:tcW w:w="812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10089-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M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0B5826" w:rsidRPr="00EE09D8" w:rsidRDefault="00EE09D8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60.</w:t>
            </w:r>
            <w:r w:rsidR="000B5826"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shd w:val="clear" w:color="auto" w:fill="auto"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Coronary heart disease,</w:t>
            </w:r>
          </w:p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proofErr w:type="gramStart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Non ST</w:t>
            </w:r>
            <w:proofErr w:type="gramEnd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-segment elevation myocardial infarction (NSTEMI)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:lang w:val="en-US"/>
              </w:rPr>
              <w:t>Braak &amp; Braak stage I</w:t>
            </w: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,</w:t>
            </w:r>
          </w:p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 xml:space="preserve">microinfarct in the </w:t>
            </w:r>
            <w:proofErr w:type="spellStart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globus</w:t>
            </w:r>
            <w:proofErr w:type="spellEnd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 xml:space="preserve"> pallidus, microcalcifications in the </w:t>
            </w:r>
            <w:proofErr w:type="spellStart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globus</w:t>
            </w:r>
            <w:proofErr w:type="spellEnd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 xml:space="preserve"> pallidus and hippocampal CA1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I-II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</w:tr>
      <w:tr w:rsidR="00EE09D8" w:rsidRPr="000B5826" w:rsidTr="00EE09D8">
        <w:trPr>
          <w:trHeight w:val="206"/>
        </w:trPr>
        <w:tc>
          <w:tcPr>
            <w:tcW w:w="812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10112-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M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0B5826" w:rsidRPr="00EE09D8" w:rsidRDefault="00EE09D8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69.</w:t>
            </w:r>
            <w:r w:rsidR="000B5826"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24</w:t>
            </w:r>
            <w:r w:rsid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.</w:t>
            </w: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proofErr w:type="spellStart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Arrosion</w:t>
            </w:r>
            <w:proofErr w:type="spellEnd"/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 xml:space="preserve"> bleeding of the common hepatic arteria, Duodenal ulcer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:lang w:val="en-US"/>
              </w:rPr>
              <w:t>Braak &amp; Braak stage II</w:t>
            </w: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,</w:t>
            </w:r>
          </w:p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microinfarcts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I-II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</w:tr>
      <w:tr w:rsidR="00EE09D8" w:rsidRPr="000B5826" w:rsidTr="00EE09D8">
        <w:trPr>
          <w:trHeight w:val="206"/>
        </w:trPr>
        <w:tc>
          <w:tcPr>
            <w:tcW w:w="812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10116-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0B5826" w:rsidRPr="00EE09D8" w:rsidRDefault="00EE09D8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77.</w:t>
            </w:r>
            <w:r w:rsidR="000B5826"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0B5826" w:rsidRPr="00EE09D8" w:rsidRDefault="00EE09D8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24.</w:t>
            </w:r>
            <w:r w:rsidR="000B5826"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Pulmonal embolism, Hypertension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:lang w:val="en-US"/>
              </w:rPr>
              <w:t>Braak &amp; Braak stage II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I-II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NA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0B5826" w:rsidRPr="00EE09D8" w:rsidRDefault="000B5826" w:rsidP="00EE09D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</w:rPr>
              <w:t>0</w:t>
            </w:r>
          </w:p>
        </w:tc>
      </w:tr>
    </w:tbl>
    <w:p w:rsidR="000B5826" w:rsidRDefault="000B5826" w:rsidP="009C0E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09D8" w:rsidRDefault="00EE09D8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0B5826" w:rsidRPr="00EE09D8" w:rsidRDefault="00EE09D8" w:rsidP="00EE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2</w:t>
      </w:r>
      <w:r w:rsidR="000B5826" w:rsidRPr="000B58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Data regarding PD patients. 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>PM, postmortem delay in hours;</w:t>
      </w:r>
      <w:r w:rsidR="000B5826" w:rsidRPr="000B58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Braak &amp; Braak, neurofibrillary staging after Braak &amp; Braak [34]; CERAD [35, 36]; Braak et al., [37]; NIA </w:t>
      </w:r>
      <w:proofErr w:type="spellStart"/>
      <w:r w:rsidR="000B5826" w:rsidRPr="000B5826">
        <w:rPr>
          <w:rFonts w:ascii="Times New Roman" w:hAnsi="Times New Roman" w:cs="Times New Roman"/>
          <w:sz w:val="24"/>
          <w:szCs w:val="24"/>
          <w:lang w:val="en-GB"/>
        </w:rPr>
        <w:t>Montine</w:t>
      </w:r>
      <w:proofErr w:type="spellEnd"/>
      <w:r w:rsidR="000B5826" w:rsidRPr="000B5826">
        <w:rPr>
          <w:rFonts w:ascii="Times New Roman" w:hAnsi="Times New Roman" w:cs="Times New Roman"/>
          <w:sz w:val="24"/>
          <w:szCs w:val="24"/>
          <w:lang w:val="en-GB"/>
        </w:rPr>
        <w:t xml:space="preserve"> et al. 2012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[38, 39]; </w:t>
      </w:r>
      <w:proofErr w:type="spellStart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>McKeith</w:t>
      </w:r>
      <w:proofErr w:type="spellEnd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et al. [40]; CAA, cerebral amyloid angiopathy; LB-FC, LB-TC, LB-SN; presence of Lewy bodies in the frontal cortex, temporal cortex, and in the substantia </w:t>
      </w:r>
      <w:proofErr w:type="spellStart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>nigra</w:t>
      </w:r>
      <w:proofErr w:type="spellEnd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, respectively. 0, absent; Low, low </w:t>
      </w:r>
      <w:r w:rsidR="000B5826" w:rsidRPr="000B5826">
        <w:rPr>
          <w:rFonts w:ascii="Times New Roman" w:eastAsiaTheme="minorHAnsi" w:hAnsi="Times New Roman" w:cs="Times New Roman"/>
          <w:kern w:val="0"/>
          <w:sz w:val="24"/>
          <w:szCs w:val="24"/>
          <w:lang w:val="en-GB" w:eastAsia="en-US"/>
        </w:rPr>
        <w:t>neuropathological changes;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L, low density; M, moderate density; H, high density; NA, not applicable; M, male, F, female.</w:t>
      </w:r>
    </w:p>
    <w:p w:rsidR="005F402C" w:rsidRPr="000B5826" w:rsidRDefault="005F402C" w:rsidP="00EE0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"/>
        <w:gridCol w:w="540"/>
        <w:gridCol w:w="630"/>
        <w:gridCol w:w="1350"/>
        <w:gridCol w:w="2070"/>
        <w:gridCol w:w="1440"/>
        <w:gridCol w:w="850"/>
        <w:gridCol w:w="1220"/>
        <w:gridCol w:w="567"/>
        <w:gridCol w:w="709"/>
        <w:gridCol w:w="884"/>
        <w:gridCol w:w="535"/>
        <w:gridCol w:w="560"/>
        <w:gridCol w:w="495"/>
      </w:tblGrid>
      <w:tr w:rsidR="00EE09D8" w:rsidRPr="000B5826" w:rsidTr="00EE09D8">
        <w:trPr>
          <w:cantSplit/>
        </w:trPr>
        <w:tc>
          <w:tcPr>
            <w:tcW w:w="71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Sex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Age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PM delay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Diagnosis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Neuropathology Diagnoses</w:t>
            </w:r>
          </w:p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Braak &amp; Braak</w:t>
            </w:r>
            <w:r w:rsid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 xml:space="preserve">Neurofibrillary </w:t>
            </w: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Tangle Stages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CERAD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NIA-</w:t>
            </w:r>
            <w:r w:rsidRPr="00EE09D8">
              <w:rPr>
                <w:rFonts w:ascii="AdvPTimesB" w:hAnsi="AdvPTimesB" w:cs="AdvPTimesB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09D8">
              <w:rPr>
                <w:rFonts w:ascii="AdvPTimesB" w:hAnsi="AdvPTimesB" w:cs="AdvPTimesB"/>
                <w:b/>
                <w:sz w:val="16"/>
                <w:szCs w:val="16"/>
                <w:lang w:val="en-US"/>
              </w:rPr>
              <w:t>Montine</w:t>
            </w:r>
            <w:proofErr w:type="spellEnd"/>
            <w:r w:rsidRPr="00EE09D8">
              <w:rPr>
                <w:rFonts w:ascii="AdvPTimesB" w:hAnsi="AdvPTimesB" w:cs="AdvPTimesB"/>
                <w:b/>
                <w:sz w:val="16"/>
                <w:szCs w:val="16"/>
                <w:lang w:val="en-US"/>
              </w:rPr>
              <w:t xml:space="preserve"> et al. 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CAA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Braak et al.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McKeith</w:t>
            </w:r>
            <w:proofErr w:type="spellEnd"/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et al.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LB-FC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LB-TC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LB-SN</w:t>
            </w:r>
          </w:p>
        </w:tc>
      </w:tr>
      <w:tr w:rsidR="00EE09D8" w:rsidRPr="000B5826" w:rsidTr="00EE09D8">
        <w:trPr>
          <w:cantSplit/>
        </w:trPr>
        <w:tc>
          <w:tcPr>
            <w:tcW w:w="71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10082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  <w:r w:rsidR="00EE09D8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="00EE09D8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PD,</w:t>
            </w:r>
          </w:p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subdural hematoma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PD,</w:t>
            </w:r>
            <w:r w:rsid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 possible</w:t>
            </w:r>
            <w:r w:rsid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Subdural</w:t>
            </w:r>
            <w:r w:rsid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hematoma, 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Cerebral amyloid angiopathy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</w:tr>
      <w:tr w:rsidR="00EE09D8" w:rsidRPr="000B5826" w:rsidTr="00EE09D8">
        <w:trPr>
          <w:cantSplit/>
        </w:trPr>
        <w:tc>
          <w:tcPr>
            <w:tcW w:w="71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10163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Dementia, PD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PD,</w:t>
            </w:r>
            <w:r w:rsid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Microinfarcts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</w:tr>
      <w:tr w:rsidR="00EE09D8" w:rsidRPr="000B5826" w:rsidTr="00EE09D8">
        <w:trPr>
          <w:cantSplit/>
        </w:trPr>
        <w:tc>
          <w:tcPr>
            <w:tcW w:w="71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10210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</w:tc>
      </w:tr>
      <w:tr w:rsidR="00EE09D8" w:rsidRPr="000B5826" w:rsidTr="00EE09D8">
        <w:trPr>
          <w:cantSplit/>
        </w:trPr>
        <w:tc>
          <w:tcPr>
            <w:tcW w:w="71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10228-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</w:t>
            </w:r>
          </w:p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I-II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</w:tr>
      <w:tr w:rsidR="00EE09D8" w:rsidRPr="008D2CB9" w:rsidTr="00EE09D8">
        <w:trPr>
          <w:cantSplit/>
        </w:trPr>
        <w:tc>
          <w:tcPr>
            <w:tcW w:w="71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10240-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PD,</w:t>
            </w:r>
            <w:r w:rsidR="00EE09D8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Diabetes</w:t>
            </w:r>
            <w:r w:rsidR="00EE09D8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mellitus, Cardiac decompensation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</w:tr>
    </w:tbl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826" w:rsidRDefault="000B5826" w:rsidP="00EE09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826" w:rsidRPr="000B5826" w:rsidRDefault="00EE09D8" w:rsidP="00EE09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0B5826" w:rsidRPr="000B58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Data regarding DLB patients. 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>PM, postmortem delay in hours;</w:t>
      </w:r>
      <w:r w:rsidR="000B5826" w:rsidRPr="000B58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Braak &amp; Braak, neurofibrillary staging after Braak &amp; Braak [34]; CERAD [35, 36]; Braak et al. [37]; NIA </w:t>
      </w:r>
      <w:proofErr w:type="spellStart"/>
      <w:r w:rsidR="000B5826" w:rsidRPr="000B5826">
        <w:rPr>
          <w:rFonts w:ascii="Times New Roman" w:hAnsi="Times New Roman" w:cs="Times New Roman"/>
          <w:sz w:val="24"/>
          <w:szCs w:val="24"/>
          <w:lang w:val="en-GB"/>
        </w:rPr>
        <w:t>Montine</w:t>
      </w:r>
      <w:proofErr w:type="spellEnd"/>
      <w:r w:rsidR="000B5826" w:rsidRPr="000B5826">
        <w:rPr>
          <w:rFonts w:ascii="Times New Roman" w:hAnsi="Times New Roman" w:cs="Times New Roman"/>
          <w:sz w:val="24"/>
          <w:szCs w:val="24"/>
          <w:lang w:val="en-GB"/>
        </w:rPr>
        <w:t xml:space="preserve"> et al. 2012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[38, 39]; </w:t>
      </w:r>
      <w:proofErr w:type="spellStart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>McKeith</w:t>
      </w:r>
      <w:proofErr w:type="spellEnd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et al. [40]; CAA, cerebral amyloid angiopathy; LB-FC, LB-TC, LB-SN; presence of Lewy bodies in the frontal cortex, temporal cortex, and in the substantia </w:t>
      </w:r>
      <w:proofErr w:type="spellStart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>nigra</w:t>
      </w:r>
      <w:proofErr w:type="spellEnd"/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, respectively. 0, absent; Intermediate, intermediate </w:t>
      </w:r>
      <w:r w:rsidR="000B5826" w:rsidRPr="000B5826">
        <w:rPr>
          <w:rFonts w:ascii="Times New Roman" w:eastAsiaTheme="minorHAnsi" w:hAnsi="Times New Roman" w:cs="Times New Roman"/>
          <w:kern w:val="0"/>
          <w:sz w:val="24"/>
          <w:szCs w:val="24"/>
          <w:lang w:val="en-GB" w:eastAsia="en-US"/>
        </w:rPr>
        <w:t>neuropathological changes; High, high neuropathological changes;</w:t>
      </w:r>
      <w:r w:rsidR="000B5826" w:rsidRPr="000B5826">
        <w:rPr>
          <w:rFonts w:ascii="Times New Roman" w:hAnsi="Times New Roman" w:cs="Times New Roman"/>
          <w:sz w:val="24"/>
          <w:szCs w:val="24"/>
          <w:lang w:val="en-US"/>
        </w:rPr>
        <w:t xml:space="preserve"> M, moderate density; H, high density; NA, not applicable; M, male, F, female.</w:t>
      </w:r>
    </w:p>
    <w:p w:rsidR="005F402C" w:rsidRPr="000B5826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56"/>
        <w:gridCol w:w="496"/>
        <w:gridCol w:w="581"/>
        <w:gridCol w:w="1887"/>
        <w:gridCol w:w="1530"/>
        <w:gridCol w:w="1350"/>
        <w:gridCol w:w="785"/>
        <w:gridCol w:w="1025"/>
        <w:gridCol w:w="563"/>
        <w:gridCol w:w="643"/>
        <w:gridCol w:w="927"/>
        <w:gridCol w:w="526"/>
        <w:gridCol w:w="530"/>
        <w:gridCol w:w="530"/>
      </w:tblGrid>
      <w:tr w:rsidR="00EE09D8" w:rsidRPr="000B5826" w:rsidTr="00EE09D8">
        <w:trPr>
          <w:trHeight w:val="206"/>
        </w:trPr>
        <w:tc>
          <w:tcPr>
            <w:tcW w:w="80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DLB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Sex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Age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PM delay</w:t>
            </w:r>
          </w:p>
        </w:tc>
        <w:tc>
          <w:tcPr>
            <w:tcW w:w="188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Diagnosis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Neuropathology Diagnoses</w:t>
            </w:r>
          </w:p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Braak &amp; Braak</w:t>
            </w:r>
            <w:r w:rsidRPr="00EE09D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 xml:space="preserve"> Neurofibrillary Tangle Stages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CERAD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NIA-</w:t>
            </w:r>
            <w:r w:rsidRPr="00EE09D8">
              <w:rPr>
                <w:rFonts w:ascii="AdvPTimesB" w:hAnsi="AdvPTimesB" w:cs="AdvPTimesB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09D8">
              <w:rPr>
                <w:rFonts w:ascii="AdvPTimesB" w:hAnsi="AdvPTimesB" w:cs="AdvPTimesB"/>
                <w:b/>
                <w:sz w:val="16"/>
                <w:szCs w:val="16"/>
                <w:lang w:val="en-US"/>
              </w:rPr>
              <w:t>Montine</w:t>
            </w:r>
            <w:proofErr w:type="spellEnd"/>
            <w:r w:rsidRPr="00EE09D8">
              <w:rPr>
                <w:rFonts w:ascii="AdvPTimesB" w:hAnsi="AdvPTimesB" w:cs="AdvPTimesB"/>
                <w:b/>
                <w:sz w:val="16"/>
                <w:szCs w:val="16"/>
                <w:lang w:val="en-US"/>
              </w:rPr>
              <w:t xml:space="preserve"> et al. 2012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CAA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Braak et al.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McKeith</w:t>
            </w:r>
            <w:proofErr w:type="spellEnd"/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et al.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LB-FC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LB-TC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LB-SN</w:t>
            </w:r>
          </w:p>
        </w:tc>
      </w:tr>
      <w:tr w:rsidR="00EE09D8" w:rsidRPr="000B5826" w:rsidTr="00EE09D8">
        <w:trPr>
          <w:trHeight w:val="206"/>
        </w:trPr>
        <w:tc>
          <w:tcPr>
            <w:tcW w:w="80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10026-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  <w:r w:rsidR="00EE09D8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887" w:type="dxa"/>
            <w:shd w:val="clear" w:color="auto" w:fill="auto"/>
            <w:noWrap/>
            <w:hideMark/>
          </w:tcPr>
          <w:p w:rsidR="00BD6D57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dementia,</w:t>
            </w:r>
          </w:p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PD </w:t>
            </w:r>
            <w:r w:rsidR="00BD6D57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yndrome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DLB-limbic stage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Intermediate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limbic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</w:tr>
      <w:tr w:rsidR="00EE09D8" w:rsidRPr="000B5826" w:rsidTr="00EE09D8">
        <w:trPr>
          <w:trHeight w:val="206"/>
        </w:trPr>
        <w:tc>
          <w:tcPr>
            <w:tcW w:w="80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10036-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88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Suspected CJD, Herpes encephalitis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DLB-diffuse neocortical stage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V-VI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en-US" w:eastAsia="en-US"/>
              </w:rPr>
              <w:t>High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neocortical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</w:tr>
      <w:tr w:rsidR="00EE09D8" w:rsidRPr="000B5826" w:rsidTr="00EE09D8">
        <w:trPr>
          <w:trHeight w:val="206"/>
        </w:trPr>
        <w:tc>
          <w:tcPr>
            <w:tcW w:w="80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10190-3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88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PD, Urothelial carcinoma of the urinary bladder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DLB-diffuse neocortical stage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Intermediate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neocortical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</w:p>
        </w:tc>
      </w:tr>
      <w:tr w:rsidR="00EE09D8" w:rsidRPr="008D2CB9" w:rsidTr="00EE09D8">
        <w:trPr>
          <w:trHeight w:val="206"/>
        </w:trPr>
        <w:tc>
          <w:tcPr>
            <w:tcW w:w="80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10283-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5F402C" w:rsidRPr="00EE09D8" w:rsidRDefault="00EE09D8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</w:t>
            </w:r>
            <w:r w:rsidR="005F402C"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88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Pneumonia, Renal insufficiency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DLB-brain stem stage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Intermediate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brain stem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5F402C" w:rsidRPr="00EE09D8" w:rsidRDefault="005F402C" w:rsidP="00EE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</w:tr>
    </w:tbl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09D8" w:rsidRDefault="00EE09D8" w:rsidP="00EE09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EE09D8" w:rsidSect="00EE09D8">
          <w:pgSz w:w="16819" w:h="11894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EE09D8" w:rsidRDefault="00EE09D8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sequences of primers used for 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eal time/quantitative PCR (RT-qPCR).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531"/>
      </w:tblGrid>
      <w:tr w:rsidR="005F402C" w:rsidRPr="007B1BDA" w:rsidTr="008956D1">
        <w:trPr>
          <w:trHeight w:val="67"/>
        </w:trPr>
        <w:tc>
          <w:tcPr>
            <w:tcW w:w="2515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18S </w:t>
            </w:r>
          </w:p>
        </w:tc>
        <w:tc>
          <w:tcPr>
            <w:tcW w:w="4531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5’CGC CGC TAG AGG TGA AAT TC 3’</w:t>
            </w:r>
          </w:p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5’TTG GCA AATGCT TTC GCT C 3’ </w:t>
            </w:r>
          </w:p>
        </w:tc>
      </w:tr>
      <w:tr w:rsidR="005F402C" w:rsidRPr="007B1BDA" w:rsidTr="008956D1">
        <w:tc>
          <w:tcPr>
            <w:tcW w:w="2515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HSP90</w:t>
            </w:r>
          </w:p>
        </w:tc>
        <w:tc>
          <w:tcPr>
            <w:tcW w:w="4531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5’CCG TTT CTG AGA AGC AGGG CA 3’</w:t>
            </w:r>
          </w:p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5’CTG TCT GAA GGC CAG TGA CG 3’</w:t>
            </w:r>
          </w:p>
        </w:tc>
      </w:tr>
      <w:tr w:rsidR="005F402C" w:rsidRPr="00965EA4" w:rsidTr="008956D1">
        <w:tc>
          <w:tcPr>
            <w:tcW w:w="2515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CHORDC1 (CHP-1)</w:t>
            </w:r>
          </w:p>
        </w:tc>
        <w:tc>
          <w:tcPr>
            <w:tcW w:w="4531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TagMan</w:t>
            </w:r>
            <w:proofErr w:type="spellEnd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Expression Assay </w:t>
            </w:r>
            <w:proofErr w:type="spellStart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proofErr w:type="spellEnd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Fisher Scientific</w:t>
            </w:r>
          </w:p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Assay ID: </w:t>
            </w:r>
            <w:hyperlink r:id="rId12" w:tgtFrame="_blank" w:history="1">
              <w:r w:rsidRPr="008956D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Hs01083564_g1</w:t>
              </w:r>
            </w:hyperlink>
          </w:p>
        </w:tc>
      </w:tr>
      <w:tr w:rsidR="005F402C" w:rsidRPr="00965EA4" w:rsidTr="008956D1">
        <w:tc>
          <w:tcPr>
            <w:tcW w:w="2515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SGT1 </w:t>
            </w:r>
          </w:p>
        </w:tc>
        <w:tc>
          <w:tcPr>
            <w:tcW w:w="4531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TagMan</w:t>
            </w:r>
            <w:proofErr w:type="spellEnd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Expression Assay </w:t>
            </w:r>
            <w:proofErr w:type="spellStart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proofErr w:type="spellEnd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Fisher Scientific</w:t>
            </w:r>
          </w:p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 ID: Hs00993001_g1</w:t>
            </w:r>
          </w:p>
        </w:tc>
      </w:tr>
      <w:tr w:rsidR="005F402C" w:rsidRPr="00965EA4" w:rsidTr="008956D1">
        <w:tc>
          <w:tcPr>
            <w:tcW w:w="2515" w:type="dxa"/>
          </w:tcPr>
          <w:p w:rsidR="005F402C" w:rsidRPr="008956D1" w:rsidRDefault="005F402C" w:rsidP="00EE09D8">
            <w:pPr>
              <w:pStyle w:val="Heading3"/>
              <w:spacing w:line="240" w:lineRule="auto"/>
              <w:ind w:left="0" w:firstLine="0"/>
              <w:outlineLvl w:val="2"/>
              <w:rPr>
                <w:b w:val="0"/>
                <w:sz w:val="24"/>
                <w:szCs w:val="24"/>
                <w:lang w:val="en-US"/>
              </w:rPr>
            </w:pPr>
            <w:r w:rsidRPr="008956D1">
              <w:rPr>
                <w:b w:val="0"/>
                <w:sz w:val="24"/>
                <w:szCs w:val="24"/>
                <w:lang w:val="en-US"/>
              </w:rPr>
              <w:t xml:space="preserve"> GAPD (GAPDH) </w:t>
            </w:r>
          </w:p>
        </w:tc>
        <w:tc>
          <w:tcPr>
            <w:tcW w:w="4531" w:type="dxa"/>
          </w:tcPr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TagMan</w:t>
            </w:r>
            <w:proofErr w:type="spellEnd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Expression Assay </w:t>
            </w:r>
            <w:proofErr w:type="spellStart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proofErr w:type="spellEnd"/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Fisher Scientific</w:t>
            </w:r>
          </w:p>
          <w:p w:rsidR="005F402C" w:rsidRPr="008956D1" w:rsidRDefault="005F402C" w:rsidP="00EE0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 number: 4310884E</w:t>
            </w:r>
          </w:p>
        </w:tc>
      </w:tr>
    </w:tbl>
    <w:p w:rsidR="005F402C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402C" w:rsidRPr="008D2CB9" w:rsidRDefault="005F402C" w:rsidP="00EE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6287" w:rsidRPr="000B5826" w:rsidRDefault="00576287" w:rsidP="00EE09D8">
      <w:pPr>
        <w:spacing w:line="240" w:lineRule="auto"/>
        <w:rPr>
          <w:lang w:val="en-US"/>
        </w:rPr>
      </w:pPr>
    </w:p>
    <w:sectPr w:rsidR="00576287" w:rsidRPr="000B5826" w:rsidSect="008956D1">
      <w:pgSz w:w="11894" w:h="1681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32" w:rsidRDefault="00901532">
      <w:pPr>
        <w:spacing w:after="0" w:line="240" w:lineRule="auto"/>
      </w:pPr>
      <w:r>
        <w:separator/>
      </w:r>
    </w:p>
  </w:endnote>
  <w:endnote w:type="continuationSeparator" w:id="0">
    <w:p w:rsidR="00901532" w:rsidRDefault="0090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TimesB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17775"/>
      <w:docPartObj>
        <w:docPartGallery w:val="Page Numbers (Bottom of Page)"/>
        <w:docPartUnique/>
      </w:docPartObj>
    </w:sdtPr>
    <w:sdtEndPr/>
    <w:sdtContent>
      <w:p w:rsidR="00E3117A" w:rsidRDefault="00E3117A" w:rsidP="00EE09D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D9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32" w:rsidRDefault="00901532">
      <w:pPr>
        <w:spacing w:after="0" w:line="240" w:lineRule="auto"/>
      </w:pPr>
      <w:r>
        <w:separator/>
      </w:r>
    </w:p>
  </w:footnote>
  <w:footnote w:type="continuationSeparator" w:id="0">
    <w:p w:rsidR="00901532" w:rsidRDefault="0090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F43EB"/>
    <w:multiLevelType w:val="hybridMultilevel"/>
    <w:tmpl w:val="AC1AF02C"/>
    <w:lvl w:ilvl="0" w:tplc="A7701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568"/>
    <w:multiLevelType w:val="hybridMultilevel"/>
    <w:tmpl w:val="8EB40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2C"/>
    <w:rsid w:val="000B5826"/>
    <w:rsid w:val="00150BCF"/>
    <w:rsid w:val="00233383"/>
    <w:rsid w:val="00530687"/>
    <w:rsid w:val="00576287"/>
    <w:rsid w:val="005F402C"/>
    <w:rsid w:val="00735696"/>
    <w:rsid w:val="00786D4E"/>
    <w:rsid w:val="007B1BDA"/>
    <w:rsid w:val="00863832"/>
    <w:rsid w:val="008956D1"/>
    <w:rsid w:val="00901532"/>
    <w:rsid w:val="009C0E30"/>
    <w:rsid w:val="00AF50B2"/>
    <w:rsid w:val="00B82A4A"/>
    <w:rsid w:val="00BD6D57"/>
    <w:rsid w:val="00C160E2"/>
    <w:rsid w:val="00E21D9F"/>
    <w:rsid w:val="00E3117A"/>
    <w:rsid w:val="00E8714F"/>
    <w:rsid w:val="00EE09D8"/>
    <w:rsid w:val="00E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D850"/>
  <w15:docId w15:val="{43F3B4F1-3237-C346-8055-BF9F7B7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02C"/>
    <w:pPr>
      <w:suppressAutoHyphens/>
      <w:spacing w:after="160" w:line="256" w:lineRule="auto"/>
    </w:pPr>
    <w:rPr>
      <w:rFonts w:ascii="Calibri" w:eastAsia="SimSun" w:hAnsi="Calibri" w:cs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F402C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5F402C"/>
    <w:pPr>
      <w:numPr>
        <w:ilvl w:val="2"/>
        <w:numId w:val="1"/>
      </w:numPr>
      <w:spacing w:before="28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02C"/>
    <w:rPr>
      <w:rFonts w:ascii="Calibri Light" w:eastAsia="SimSun" w:hAnsi="Calibri Light" w:cs="Calibri Light"/>
      <w:color w:val="2E74B5"/>
      <w:kern w:val="1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5F402C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customStyle="1" w:styleId="WW8Num1z0">
    <w:name w:val="WW8Num1z0"/>
    <w:rsid w:val="005F402C"/>
  </w:style>
  <w:style w:type="character" w:customStyle="1" w:styleId="WW8Num1z1">
    <w:name w:val="WW8Num1z1"/>
    <w:rsid w:val="005F402C"/>
  </w:style>
  <w:style w:type="character" w:customStyle="1" w:styleId="WW8Num1z2">
    <w:name w:val="WW8Num1z2"/>
    <w:rsid w:val="005F402C"/>
  </w:style>
  <w:style w:type="character" w:customStyle="1" w:styleId="WW8Num1z3">
    <w:name w:val="WW8Num1z3"/>
    <w:rsid w:val="005F402C"/>
  </w:style>
  <w:style w:type="character" w:customStyle="1" w:styleId="WW8Num1z4">
    <w:name w:val="WW8Num1z4"/>
    <w:rsid w:val="005F402C"/>
  </w:style>
  <w:style w:type="character" w:customStyle="1" w:styleId="WW8Num1z5">
    <w:name w:val="WW8Num1z5"/>
    <w:rsid w:val="005F402C"/>
  </w:style>
  <w:style w:type="character" w:customStyle="1" w:styleId="WW8Num1z6">
    <w:name w:val="WW8Num1z6"/>
    <w:rsid w:val="005F402C"/>
  </w:style>
  <w:style w:type="character" w:customStyle="1" w:styleId="WW8Num1z7">
    <w:name w:val="WW8Num1z7"/>
    <w:rsid w:val="005F402C"/>
  </w:style>
  <w:style w:type="character" w:customStyle="1" w:styleId="WW8Num1z8">
    <w:name w:val="WW8Num1z8"/>
    <w:rsid w:val="005F402C"/>
  </w:style>
  <w:style w:type="character" w:customStyle="1" w:styleId="DefaultParagraphFont1">
    <w:name w:val="Default Paragraph Font1"/>
    <w:rsid w:val="005F402C"/>
  </w:style>
  <w:style w:type="character" w:styleId="Emphasis">
    <w:name w:val="Emphasis"/>
    <w:uiPriority w:val="20"/>
    <w:qFormat/>
    <w:rsid w:val="005F402C"/>
    <w:rPr>
      <w:i/>
      <w:iCs/>
    </w:rPr>
  </w:style>
  <w:style w:type="character" w:styleId="Hyperlink">
    <w:name w:val="Hyperlink"/>
    <w:rsid w:val="005F402C"/>
    <w:rPr>
      <w:color w:val="0000FF"/>
      <w:u w:val="single"/>
    </w:rPr>
  </w:style>
  <w:style w:type="character" w:customStyle="1" w:styleId="highlight">
    <w:name w:val="highlight"/>
    <w:basedOn w:val="DefaultParagraphFont1"/>
    <w:rsid w:val="005F402C"/>
  </w:style>
  <w:style w:type="character" w:customStyle="1" w:styleId="st">
    <w:name w:val="st"/>
    <w:basedOn w:val="DefaultParagraphFont1"/>
    <w:rsid w:val="005F402C"/>
  </w:style>
  <w:style w:type="character" w:customStyle="1" w:styleId="mixed-citation">
    <w:name w:val="mixed-citation"/>
    <w:basedOn w:val="DefaultParagraphFont1"/>
    <w:rsid w:val="005F402C"/>
  </w:style>
  <w:style w:type="character" w:customStyle="1" w:styleId="ref-title">
    <w:name w:val="ref-title"/>
    <w:basedOn w:val="DefaultParagraphFont1"/>
    <w:rsid w:val="005F402C"/>
  </w:style>
  <w:style w:type="character" w:customStyle="1" w:styleId="ref-journal">
    <w:name w:val="ref-journal"/>
    <w:basedOn w:val="DefaultParagraphFont1"/>
    <w:rsid w:val="005F402C"/>
  </w:style>
  <w:style w:type="character" w:customStyle="1" w:styleId="ref-vol">
    <w:name w:val="ref-vol"/>
    <w:basedOn w:val="DefaultParagraphFont1"/>
    <w:rsid w:val="005F402C"/>
  </w:style>
  <w:style w:type="character" w:customStyle="1" w:styleId="nowrap">
    <w:name w:val="nowrap"/>
    <w:basedOn w:val="DefaultParagraphFont1"/>
    <w:rsid w:val="005F402C"/>
  </w:style>
  <w:style w:type="character" w:styleId="Strong">
    <w:name w:val="Strong"/>
    <w:qFormat/>
    <w:rsid w:val="005F402C"/>
    <w:rPr>
      <w:b/>
      <w:bCs/>
    </w:rPr>
  </w:style>
  <w:style w:type="character" w:customStyle="1" w:styleId="cit">
    <w:name w:val="cit"/>
    <w:basedOn w:val="DefaultParagraphFont1"/>
    <w:rsid w:val="005F402C"/>
  </w:style>
  <w:style w:type="character" w:customStyle="1" w:styleId="HTMLPreformattedChar">
    <w:name w:val="HTML Preformatted Char"/>
    <w:link w:val="HTMLPreformatted"/>
    <w:uiPriority w:val="99"/>
    <w:semiHidden/>
    <w:rsid w:val="005F402C"/>
    <w:rPr>
      <w:rFonts w:ascii="Courier New" w:eastAsia="Times New Roman" w:hAnsi="Courier New" w:cs="Courier New"/>
      <w:sz w:val="20"/>
      <w:szCs w:val="20"/>
    </w:rPr>
  </w:style>
  <w:style w:type="character" w:customStyle="1" w:styleId="FontStyle17">
    <w:name w:val="Font Style17"/>
    <w:rsid w:val="005F402C"/>
    <w:rPr>
      <w:rFonts w:ascii="Times New Roman" w:hAnsi="Times New Roman" w:cs="Times New Roman"/>
      <w:sz w:val="22"/>
    </w:rPr>
  </w:style>
  <w:style w:type="character" w:customStyle="1" w:styleId="current-selection">
    <w:name w:val="current-selection"/>
    <w:basedOn w:val="DefaultParagraphFont1"/>
    <w:rsid w:val="005F402C"/>
  </w:style>
  <w:style w:type="character" w:customStyle="1" w:styleId="a">
    <w:name w:val="_"/>
    <w:rsid w:val="005F402C"/>
  </w:style>
  <w:style w:type="character" w:customStyle="1" w:styleId="jrnl">
    <w:name w:val="jrnl"/>
    <w:basedOn w:val="DefaultParagraphFont1"/>
    <w:rsid w:val="005F402C"/>
  </w:style>
  <w:style w:type="character" w:customStyle="1" w:styleId="FollowedHyperlink1">
    <w:name w:val="FollowedHyperlink1"/>
    <w:rsid w:val="005F402C"/>
    <w:rPr>
      <w:color w:val="954F72"/>
      <w:u w:val="single"/>
    </w:rPr>
  </w:style>
  <w:style w:type="character" w:customStyle="1" w:styleId="NagwekZnak">
    <w:name w:val="Nagłówek Znak"/>
    <w:basedOn w:val="DefaultParagraphFont1"/>
    <w:rsid w:val="005F402C"/>
  </w:style>
  <w:style w:type="character" w:customStyle="1" w:styleId="StopkaZnak">
    <w:name w:val="Stopka Znak"/>
    <w:basedOn w:val="DefaultParagraphFont1"/>
    <w:uiPriority w:val="99"/>
    <w:rsid w:val="005F402C"/>
  </w:style>
  <w:style w:type="character" w:customStyle="1" w:styleId="TekstdymkaZnak">
    <w:name w:val="Tekst dymka Znak"/>
    <w:rsid w:val="005F402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"/>
    <w:next w:val="BodyText"/>
    <w:rsid w:val="005F40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5F40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402C"/>
    <w:rPr>
      <w:rFonts w:ascii="Calibri" w:eastAsia="SimSun" w:hAnsi="Calibri" w:cs="Calibri"/>
      <w:kern w:val="1"/>
      <w:lang w:eastAsia="ar-SA"/>
    </w:rPr>
  </w:style>
  <w:style w:type="paragraph" w:styleId="List">
    <w:name w:val="List"/>
    <w:basedOn w:val="BodyText"/>
    <w:rsid w:val="005F402C"/>
    <w:rPr>
      <w:rFonts w:cs="Mangal"/>
    </w:rPr>
  </w:style>
  <w:style w:type="paragraph" w:customStyle="1" w:styleId="Podpis1">
    <w:name w:val="Podpis1"/>
    <w:basedOn w:val="Normal"/>
    <w:rsid w:val="005F40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F402C"/>
    <w:pPr>
      <w:suppressLineNumbers/>
    </w:pPr>
    <w:rPr>
      <w:rFonts w:cs="Mangal"/>
    </w:rPr>
  </w:style>
  <w:style w:type="paragraph" w:customStyle="1" w:styleId="NormalWeb1">
    <w:name w:val="Normal (Web)1"/>
    <w:basedOn w:val="Normal"/>
    <w:rsid w:val="005F402C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5F402C"/>
    <w:pPr>
      <w:ind w:left="720"/>
    </w:pPr>
  </w:style>
  <w:style w:type="paragraph" w:customStyle="1" w:styleId="HTMLPreformatted1">
    <w:name w:val="HTML Preformatted1"/>
    <w:basedOn w:val="Normal"/>
    <w:rsid w:val="005F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ytu1">
    <w:name w:val="Tytuł1"/>
    <w:basedOn w:val="Normal"/>
    <w:rsid w:val="005F402C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5F402C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F402C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"/>
    <w:rsid w:val="005F402C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F402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rsid w:val="005F402C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5F402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5F402C"/>
    <w:rPr>
      <w:rFonts w:ascii="Calibri" w:eastAsia="SimSun" w:hAnsi="Calibri" w:cs="Calibri"/>
      <w:kern w:val="1"/>
      <w:lang w:eastAsia="ar-SA"/>
    </w:rPr>
  </w:style>
  <w:style w:type="paragraph" w:customStyle="1" w:styleId="BalloonText1">
    <w:name w:val="Balloon Text1"/>
    <w:basedOn w:val="Normal"/>
    <w:rsid w:val="005F402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F4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2C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ytu2">
    <w:name w:val="Tytuł2"/>
    <w:basedOn w:val="Normal"/>
    <w:rsid w:val="005F4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horttext">
    <w:name w:val="short_text"/>
    <w:rsid w:val="005F402C"/>
  </w:style>
  <w:style w:type="paragraph" w:customStyle="1" w:styleId="EndNoteBibliography">
    <w:name w:val="EndNote Bibliography"/>
    <w:basedOn w:val="Normal"/>
    <w:link w:val="EndNoteBibliographyZchn"/>
    <w:rsid w:val="005F402C"/>
    <w:pPr>
      <w:spacing w:line="240" w:lineRule="auto"/>
    </w:pPr>
    <w:rPr>
      <w:noProof/>
    </w:rPr>
  </w:style>
  <w:style w:type="character" w:customStyle="1" w:styleId="EndNoteBibliographyZchn">
    <w:name w:val="EndNote Bibliography Zchn"/>
    <w:link w:val="EndNoteBibliography"/>
    <w:rsid w:val="005F402C"/>
    <w:rPr>
      <w:rFonts w:ascii="Calibri" w:eastAsia="SimSun" w:hAnsi="Calibri" w:cs="Calibri"/>
      <w:noProof/>
      <w:kern w:val="1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-wstpniesformatowanyZnak1">
    <w:name w:val="HTML - wstępnie sformatowany Znak1"/>
    <w:basedOn w:val="DefaultParagraphFont"/>
    <w:uiPriority w:val="99"/>
    <w:semiHidden/>
    <w:rsid w:val="005F402C"/>
    <w:rPr>
      <w:rFonts w:ascii="Consolas" w:eastAsia="SimSun" w:hAnsi="Consolas" w:cs="Consolas"/>
      <w:kern w:val="1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5F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hermofisher.com/taqman-gene-expression/product/Hs01083564_g1?CID=&amp;ICID=&amp;subtyp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Supplementary materials</vt:lpstr>
      <vt:lpstr/>
      <vt:lpstr>/</vt:lpstr>
      <vt:lpstr>Fig. S1. Immunohistochemical staining of α-synuclein in the substantia nigra (SN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Filipek</dc:creator>
  <cp:lastModifiedBy>Beth Kumar</cp:lastModifiedBy>
  <cp:revision>5</cp:revision>
  <dcterms:created xsi:type="dcterms:W3CDTF">2018-12-03T13:54:00Z</dcterms:created>
  <dcterms:modified xsi:type="dcterms:W3CDTF">2018-12-03T14:04:00Z</dcterms:modified>
</cp:coreProperties>
</file>