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88" w:rsidRDefault="00CA7788" w:rsidP="00CA7788">
      <w:pPr>
        <w:tabs>
          <w:tab w:val="left" w:pos="360"/>
        </w:tabs>
        <w:rPr>
          <w:rFonts w:ascii="Times New Roman" w:hAnsi="Times New Roman" w:cs="Times New Roman"/>
          <w:b/>
          <w:sz w:val="24"/>
          <w:szCs w:val="24"/>
          <w:lang w:val="en-US"/>
        </w:rPr>
      </w:pPr>
      <w:bookmarkStart w:id="0" w:name="_GoBack"/>
      <w:bookmarkEnd w:id="0"/>
      <w:r w:rsidRPr="005119CA">
        <w:rPr>
          <w:rFonts w:ascii="Times New Roman" w:hAnsi="Times New Roman" w:cs="Times New Roman"/>
          <w:b/>
          <w:sz w:val="24"/>
          <w:szCs w:val="24"/>
          <w:lang w:val="en-US"/>
        </w:rPr>
        <w:t>Supplementary</w:t>
      </w:r>
      <w:r>
        <w:rPr>
          <w:rFonts w:ascii="Times New Roman" w:hAnsi="Times New Roman" w:cs="Times New Roman"/>
          <w:b/>
          <w:sz w:val="24"/>
          <w:szCs w:val="24"/>
          <w:lang w:val="en-US"/>
        </w:rPr>
        <w:t xml:space="preserve"> Material</w:t>
      </w:r>
    </w:p>
    <w:p w:rsidR="00CA7788" w:rsidRPr="005119CA" w:rsidRDefault="00CA7788" w:rsidP="00CA7788">
      <w:pPr>
        <w:tabs>
          <w:tab w:val="left" w:pos="360"/>
        </w:tabs>
        <w:rPr>
          <w:rFonts w:ascii="Times New Roman" w:hAnsi="Times New Roman" w:cs="Times New Roman"/>
          <w:b/>
          <w:sz w:val="24"/>
          <w:szCs w:val="24"/>
          <w:lang w:val="en-US"/>
        </w:rPr>
      </w:pPr>
    </w:p>
    <w:p w:rsidR="00CA7788" w:rsidRDefault="00CA7788" w:rsidP="00CA7788">
      <w:pPr>
        <w:tabs>
          <w:tab w:val="left" w:pos="360"/>
        </w:tabs>
        <w:rPr>
          <w:rFonts w:ascii="Times New Roman" w:hAnsi="Times New Roman" w:cs="Times New Roman"/>
          <w:sz w:val="24"/>
          <w:szCs w:val="24"/>
          <w:lang w:val="en-US"/>
        </w:rPr>
      </w:pPr>
      <w:r w:rsidRPr="00FF0414">
        <w:rPr>
          <w:rFonts w:ascii="Times New Roman" w:hAnsi="Times New Roman" w:cs="Times New Roman"/>
          <w:b/>
          <w:sz w:val="24"/>
          <w:szCs w:val="24"/>
          <w:lang w:val="en-US"/>
        </w:rPr>
        <w:t xml:space="preserve">Supplementary Table 1 </w:t>
      </w:r>
      <w:r w:rsidRPr="005119CA">
        <w:rPr>
          <w:rFonts w:ascii="Times New Roman" w:hAnsi="Times New Roman" w:cs="Times New Roman"/>
          <w:iCs/>
          <w:sz w:val="24"/>
          <w:szCs w:val="24"/>
          <w:lang w:val="en-US"/>
        </w:rPr>
        <w:t>p</w:t>
      </w:r>
      <w:r w:rsidRPr="005119CA">
        <w:rPr>
          <w:rFonts w:ascii="Times New Roman" w:hAnsi="Times New Roman" w:cs="Times New Roman"/>
          <w:sz w:val="24"/>
          <w:szCs w:val="24"/>
          <w:lang w:val="en-US"/>
        </w:rPr>
        <w:t>resents data on interference test of MEDI1814 in plasma from non-human primate (NHP) (</w:t>
      </w:r>
      <w:r w:rsidRPr="005119CA">
        <w:rPr>
          <w:rFonts w:ascii="Times New Roman" w:hAnsi="Times New Roman" w:cs="Times New Roman"/>
          <w:i/>
          <w:sz w:val="24"/>
          <w:szCs w:val="24"/>
          <w:lang w:val="en-US"/>
        </w:rPr>
        <w:t>Macaca fasicularis</w:t>
      </w:r>
      <w:r w:rsidRPr="005119CA">
        <w:rPr>
          <w:rFonts w:ascii="Times New Roman" w:hAnsi="Times New Roman" w:cs="Times New Roman"/>
          <w:sz w:val="24"/>
          <w:szCs w:val="24"/>
          <w:lang w:val="en-US"/>
        </w:rPr>
        <w:t>). Samples were spiked with different concentrations of MEDI1814 and Aβ</w:t>
      </w:r>
      <w:r w:rsidRPr="00C2366B">
        <w:rPr>
          <w:rFonts w:ascii="Times New Roman" w:hAnsi="Times New Roman" w:cs="Times New Roman"/>
          <w:sz w:val="24"/>
          <w:szCs w:val="24"/>
          <w:vertAlign w:val="subscript"/>
          <w:lang w:val="en-US"/>
        </w:rPr>
        <w:t>42</w:t>
      </w:r>
      <w:r w:rsidRPr="005119CA">
        <w:rPr>
          <w:rFonts w:ascii="Times New Roman" w:hAnsi="Times New Roman" w:cs="Times New Roman"/>
          <w:sz w:val="24"/>
          <w:szCs w:val="24"/>
          <w:lang w:val="en-US"/>
        </w:rPr>
        <w:t xml:space="preserve"> according to predictive modelling.</w:t>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r w:rsidRPr="005119CA">
        <w:rPr>
          <w:rFonts w:ascii="Times New Roman" w:hAnsi="Times New Roman" w:cs="Times New Roman"/>
          <w:noProof/>
          <w:sz w:val="24"/>
          <w:szCs w:val="24"/>
          <w:lang w:val="en-US"/>
        </w:rPr>
        <w:drawing>
          <wp:inline distT="0" distB="0" distL="0" distR="0" wp14:anchorId="08DD4223" wp14:editId="2B3EED9E">
            <wp:extent cx="5760720" cy="2961197"/>
            <wp:effectExtent l="1905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760720" cy="2961197"/>
                    </a:xfrm>
                    <a:prstGeom prst="rect">
                      <a:avLst/>
                    </a:prstGeom>
                    <a:noFill/>
                    <a:ln w="9525">
                      <a:noFill/>
                      <a:miter lim="800000"/>
                      <a:headEnd/>
                      <a:tailEnd/>
                    </a:ln>
                  </pic:spPr>
                </pic:pic>
              </a:graphicData>
            </a:graphic>
          </wp:inline>
        </w:drawing>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keepNext w:val="0"/>
        <w:tabs>
          <w:tab w:val="left" w:pos="360"/>
        </w:tabs>
        <w:rPr>
          <w:rFonts w:ascii="Times New Roman" w:hAnsi="Times New Roman" w:cs="Times New Roman"/>
          <w:sz w:val="24"/>
          <w:szCs w:val="24"/>
          <w:lang w:val="en-US"/>
        </w:rPr>
      </w:pPr>
      <w:r w:rsidRPr="005119CA">
        <w:rPr>
          <w:rFonts w:ascii="Times New Roman" w:hAnsi="Times New Roman" w:cs="Times New Roman"/>
          <w:sz w:val="24"/>
          <w:szCs w:val="24"/>
          <w:lang w:val="en-US"/>
        </w:rPr>
        <w:br w:type="page"/>
      </w:r>
    </w:p>
    <w:p w:rsidR="00CA7788" w:rsidRPr="005119CA" w:rsidRDefault="00CA7788" w:rsidP="00CA7788">
      <w:pPr>
        <w:tabs>
          <w:tab w:val="left" w:pos="360"/>
        </w:tabs>
        <w:rPr>
          <w:rFonts w:ascii="Times New Roman" w:hAnsi="Times New Roman" w:cs="Times New Roman"/>
          <w:sz w:val="24"/>
          <w:szCs w:val="24"/>
          <w:lang w:val="en-US"/>
        </w:rPr>
      </w:pPr>
    </w:p>
    <w:p w:rsidR="00CA7788" w:rsidRDefault="00CA7788" w:rsidP="00CA7788">
      <w:pPr>
        <w:tabs>
          <w:tab w:val="left" w:pos="360"/>
        </w:tabs>
        <w:rPr>
          <w:rFonts w:ascii="Times New Roman" w:hAnsi="Times New Roman" w:cs="Times New Roman"/>
          <w:sz w:val="24"/>
          <w:szCs w:val="24"/>
          <w:lang w:val="en-US"/>
        </w:rPr>
      </w:pPr>
      <w:r w:rsidRPr="00FF0414">
        <w:rPr>
          <w:rFonts w:ascii="Times New Roman" w:hAnsi="Times New Roman" w:cs="Times New Roman"/>
          <w:b/>
          <w:sz w:val="24"/>
          <w:szCs w:val="24"/>
          <w:lang w:val="en-US"/>
        </w:rPr>
        <w:t>Supplementary Table 2</w:t>
      </w:r>
      <w:r w:rsidRPr="005119CA">
        <w:rPr>
          <w:rFonts w:ascii="Times New Roman" w:hAnsi="Times New Roman" w:cs="Times New Roman"/>
          <w:sz w:val="24"/>
          <w:szCs w:val="24"/>
          <w:lang w:val="en-US"/>
        </w:rPr>
        <w:t xml:space="preserve"> </w:t>
      </w:r>
      <w:r w:rsidRPr="005119CA">
        <w:rPr>
          <w:rFonts w:ascii="Times New Roman" w:hAnsi="Times New Roman" w:cs="Times New Roman"/>
          <w:iCs/>
          <w:sz w:val="24"/>
          <w:szCs w:val="24"/>
          <w:lang w:val="en-US"/>
        </w:rPr>
        <w:t>p</w:t>
      </w:r>
      <w:r w:rsidRPr="005119CA">
        <w:rPr>
          <w:rFonts w:ascii="Times New Roman" w:hAnsi="Times New Roman" w:cs="Times New Roman"/>
          <w:sz w:val="24"/>
          <w:szCs w:val="24"/>
          <w:lang w:val="en-US"/>
        </w:rPr>
        <w:t xml:space="preserve">resents data on interference test of MEDI1814 in </w:t>
      </w:r>
      <w:r>
        <w:rPr>
          <w:rFonts w:ascii="Times New Roman" w:hAnsi="Times New Roman" w:cs="Times New Roman"/>
          <w:sz w:val="24"/>
          <w:szCs w:val="24"/>
          <w:lang w:val="en-US"/>
        </w:rPr>
        <w:t xml:space="preserve">cerebrospinal fluid </w:t>
      </w:r>
      <w:r w:rsidRPr="005119CA">
        <w:rPr>
          <w:rFonts w:ascii="Times New Roman" w:hAnsi="Times New Roman" w:cs="Times New Roman"/>
          <w:sz w:val="24"/>
          <w:szCs w:val="24"/>
          <w:lang w:val="en-US"/>
        </w:rPr>
        <w:t>from non-human primate (</w:t>
      </w:r>
      <w:r w:rsidRPr="005119CA">
        <w:rPr>
          <w:rFonts w:ascii="Times New Roman" w:hAnsi="Times New Roman" w:cs="Times New Roman"/>
          <w:i/>
          <w:sz w:val="24"/>
          <w:szCs w:val="24"/>
          <w:lang w:val="en-US"/>
        </w:rPr>
        <w:t>Macaca fasicularis</w:t>
      </w:r>
      <w:r w:rsidRPr="005119CA">
        <w:rPr>
          <w:rFonts w:ascii="Times New Roman" w:hAnsi="Times New Roman" w:cs="Times New Roman"/>
          <w:sz w:val="24"/>
          <w:szCs w:val="24"/>
          <w:lang w:val="en-US"/>
        </w:rPr>
        <w:t>) using the in-house developed total Aβ</w:t>
      </w:r>
      <w:r w:rsidRPr="00C2366B">
        <w:rPr>
          <w:rFonts w:ascii="Times New Roman" w:hAnsi="Times New Roman" w:cs="Times New Roman"/>
          <w:sz w:val="24"/>
          <w:szCs w:val="24"/>
          <w:vertAlign w:val="subscript"/>
          <w:lang w:val="en-US"/>
        </w:rPr>
        <w:t>42</w:t>
      </w:r>
      <w:r w:rsidRPr="005119CA">
        <w:rPr>
          <w:rFonts w:ascii="Times New Roman" w:hAnsi="Times New Roman" w:cs="Times New Roman"/>
          <w:sz w:val="24"/>
          <w:szCs w:val="24"/>
          <w:lang w:val="en-US"/>
        </w:rPr>
        <w:t xml:space="preserve"> assay. Samples were spiked with different concentrations of MEDI1814 and Aβ</w:t>
      </w:r>
      <w:r w:rsidRPr="00C2366B">
        <w:rPr>
          <w:rFonts w:ascii="Times New Roman" w:hAnsi="Times New Roman" w:cs="Times New Roman"/>
          <w:sz w:val="24"/>
          <w:szCs w:val="24"/>
          <w:vertAlign w:val="subscript"/>
          <w:lang w:val="en-US"/>
        </w:rPr>
        <w:t>42</w:t>
      </w:r>
      <w:r w:rsidRPr="005119CA">
        <w:rPr>
          <w:rFonts w:ascii="Times New Roman" w:hAnsi="Times New Roman" w:cs="Times New Roman"/>
          <w:sz w:val="24"/>
          <w:szCs w:val="24"/>
          <w:lang w:val="en-US"/>
        </w:rPr>
        <w:t xml:space="preserve"> according to predictive modelling</w:t>
      </w:r>
      <w:r>
        <w:rPr>
          <w:rFonts w:ascii="Times New Roman" w:hAnsi="Times New Roman" w:cs="Times New Roman"/>
          <w:sz w:val="24"/>
          <w:szCs w:val="24"/>
          <w:lang w:val="en-US"/>
        </w:rPr>
        <w:t>.</w:t>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r w:rsidRPr="005119CA">
        <w:rPr>
          <w:rFonts w:ascii="Times New Roman" w:hAnsi="Times New Roman" w:cs="Times New Roman"/>
          <w:noProof/>
          <w:sz w:val="24"/>
          <w:szCs w:val="24"/>
          <w:lang w:val="en-US"/>
        </w:rPr>
        <w:drawing>
          <wp:inline distT="0" distB="0" distL="0" distR="0" wp14:anchorId="282E8304" wp14:editId="1B650846">
            <wp:extent cx="5760720" cy="2138710"/>
            <wp:effectExtent l="19050" t="0" r="0"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760720" cy="2138710"/>
                    </a:xfrm>
                    <a:prstGeom prst="rect">
                      <a:avLst/>
                    </a:prstGeom>
                    <a:noFill/>
                    <a:ln w="9525">
                      <a:noFill/>
                      <a:miter lim="800000"/>
                      <a:headEnd/>
                      <a:tailEnd/>
                    </a:ln>
                  </pic:spPr>
                </pic:pic>
              </a:graphicData>
            </a:graphic>
          </wp:inline>
        </w:drawing>
      </w:r>
    </w:p>
    <w:p w:rsidR="00CA7788" w:rsidRPr="005119CA" w:rsidRDefault="00CA7788" w:rsidP="00CA7788">
      <w:pPr>
        <w:keepNext w:val="0"/>
        <w:tabs>
          <w:tab w:val="left" w:pos="360"/>
        </w:tabs>
        <w:rPr>
          <w:rFonts w:ascii="Times New Roman" w:hAnsi="Times New Roman" w:cs="Times New Roman"/>
          <w:sz w:val="24"/>
          <w:szCs w:val="24"/>
          <w:lang w:val="en-US"/>
        </w:rPr>
      </w:pPr>
      <w:r w:rsidRPr="005119CA">
        <w:rPr>
          <w:rFonts w:ascii="Times New Roman" w:hAnsi="Times New Roman" w:cs="Times New Roman"/>
          <w:sz w:val="24"/>
          <w:szCs w:val="24"/>
          <w:lang w:val="en-US"/>
        </w:rPr>
        <w:br w:type="page"/>
      </w:r>
    </w:p>
    <w:p w:rsidR="00CA7788" w:rsidRPr="005119CA" w:rsidRDefault="00CA7788" w:rsidP="00CA7788">
      <w:pPr>
        <w:tabs>
          <w:tab w:val="left" w:pos="360"/>
        </w:tabs>
        <w:rPr>
          <w:rFonts w:ascii="Times New Roman" w:hAnsi="Times New Roman" w:cs="Times New Roman"/>
          <w:sz w:val="24"/>
          <w:szCs w:val="24"/>
          <w:lang w:val="en-US"/>
        </w:rPr>
      </w:pPr>
    </w:p>
    <w:p w:rsidR="00CA7788" w:rsidRDefault="00CA7788" w:rsidP="00CA7788">
      <w:pPr>
        <w:tabs>
          <w:tab w:val="left" w:pos="360"/>
        </w:tabs>
        <w:rPr>
          <w:rFonts w:ascii="Times New Roman" w:hAnsi="Times New Roman" w:cs="Times New Roman"/>
          <w:sz w:val="24"/>
          <w:szCs w:val="24"/>
          <w:lang w:val="en-US"/>
        </w:rPr>
      </w:pPr>
      <w:r w:rsidRPr="00FF0414">
        <w:rPr>
          <w:rFonts w:ascii="Times New Roman" w:hAnsi="Times New Roman" w:cs="Times New Roman"/>
          <w:b/>
          <w:sz w:val="24"/>
          <w:szCs w:val="24"/>
          <w:lang w:val="en-US"/>
        </w:rPr>
        <w:t xml:space="preserve">Supplementary Table 3. </w:t>
      </w:r>
      <w:r w:rsidRPr="005119CA">
        <w:rPr>
          <w:rFonts w:ascii="Times New Roman" w:hAnsi="Times New Roman" w:cs="Times New Roman"/>
          <w:sz w:val="24"/>
          <w:szCs w:val="24"/>
          <w:lang w:val="en-US"/>
        </w:rPr>
        <w:t>Based on the performance of the calibration standard samples and using our acceptance criteria the LLOQ for the free and total Aβ</w:t>
      </w:r>
      <w:r w:rsidRPr="00C2366B">
        <w:rPr>
          <w:rFonts w:ascii="Times New Roman" w:hAnsi="Times New Roman" w:cs="Times New Roman"/>
          <w:sz w:val="24"/>
          <w:szCs w:val="24"/>
          <w:vertAlign w:val="subscript"/>
          <w:lang w:val="en-US"/>
        </w:rPr>
        <w:t>1-42</w:t>
      </w:r>
      <w:r w:rsidRPr="005119CA">
        <w:rPr>
          <w:rFonts w:ascii="Times New Roman" w:hAnsi="Times New Roman" w:cs="Times New Roman"/>
          <w:sz w:val="24"/>
          <w:szCs w:val="24"/>
          <w:lang w:val="en-US"/>
        </w:rPr>
        <w:t xml:space="preserve"> in CSF and total Aβ</w:t>
      </w:r>
      <w:r w:rsidRPr="00C2366B">
        <w:rPr>
          <w:rFonts w:ascii="Times New Roman" w:hAnsi="Times New Roman" w:cs="Times New Roman"/>
          <w:sz w:val="24"/>
          <w:szCs w:val="24"/>
          <w:vertAlign w:val="subscript"/>
          <w:lang w:val="en-US"/>
        </w:rPr>
        <w:t>1-42</w:t>
      </w:r>
      <w:r w:rsidRPr="005119CA">
        <w:rPr>
          <w:rFonts w:ascii="Times New Roman" w:hAnsi="Times New Roman" w:cs="Times New Roman"/>
          <w:sz w:val="24"/>
          <w:szCs w:val="24"/>
          <w:lang w:val="en-US"/>
        </w:rPr>
        <w:t xml:space="preserve"> in plasma was set to 16 pg/mL (n=2 plates) and 8 pg/mL (n=6 plates) using two different ELISA lots.</w:t>
      </w:r>
      <w:r>
        <w:rPr>
          <w:rFonts w:ascii="Times New Roman" w:hAnsi="Times New Roman" w:cs="Times New Roman"/>
          <w:sz w:val="24"/>
          <w:szCs w:val="24"/>
          <w:lang w:val="en-US"/>
        </w:rPr>
        <w:t xml:space="preserve"> </w:t>
      </w:r>
    </w:p>
    <w:p w:rsidR="00CA7788" w:rsidRPr="005119CA" w:rsidRDefault="00CA7788" w:rsidP="00CA7788">
      <w:pPr>
        <w:tabs>
          <w:tab w:val="left" w:pos="360"/>
        </w:tabs>
        <w:rPr>
          <w:rFonts w:ascii="Times New Roman" w:hAnsi="Times New Roman" w:cs="Times New Roman"/>
          <w:sz w:val="24"/>
          <w:szCs w:val="24"/>
          <w:lang w:val="en-US" w:eastAsia="sv-SE"/>
        </w:rPr>
      </w:pPr>
    </w:p>
    <w:p w:rsidR="00CA7788" w:rsidRPr="005119CA" w:rsidRDefault="00CA7788" w:rsidP="00CA7788">
      <w:pPr>
        <w:tabs>
          <w:tab w:val="left" w:pos="360"/>
        </w:tabs>
        <w:rPr>
          <w:rFonts w:ascii="Times New Roman" w:hAnsi="Times New Roman" w:cs="Times New Roman"/>
          <w:sz w:val="24"/>
          <w:szCs w:val="24"/>
          <w:lang w:val="en-US"/>
        </w:rPr>
      </w:pPr>
      <w:r w:rsidRPr="005119CA">
        <w:rPr>
          <w:rFonts w:ascii="Times New Roman" w:hAnsi="Times New Roman" w:cs="Times New Roman"/>
          <w:noProof/>
          <w:sz w:val="24"/>
          <w:szCs w:val="24"/>
          <w:lang w:val="en-US"/>
        </w:rPr>
        <w:drawing>
          <wp:inline distT="0" distB="0" distL="0" distR="0" wp14:anchorId="0DFB146A" wp14:editId="744AD5B6">
            <wp:extent cx="5760720" cy="1470714"/>
            <wp:effectExtent l="1905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1470714"/>
                    </a:xfrm>
                    <a:prstGeom prst="rect">
                      <a:avLst/>
                    </a:prstGeom>
                    <a:noFill/>
                    <a:ln w="9525">
                      <a:noFill/>
                      <a:miter lim="800000"/>
                      <a:headEnd/>
                      <a:tailEnd/>
                    </a:ln>
                  </pic:spPr>
                </pic:pic>
              </a:graphicData>
            </a:graphic>
          </wp:inline>
        </w:drawing>
      </w:r>
    </w:p>
    <w:p w:rsidR="00CA7788" w:rsidRPr="005119CA" w:rsidRDefault="00CA7788" w:rsidP="00CA7788">
      <w:pPr>
        <w:keepNext w:val="0"/>
        <w:tabs>
          <w:tab w:val="left" w:pos="360"/>
        </w:tabs>
        <w:rPr>
          <w:rFonts w:ascii="Times New Roman" w:hAnsi="Times New Roman" w:cs="Times New Roman"/>
          <w:sz w:val="24"/>
          <w:szCs w:val="24"/>
          <w:lang w:val="en-US"/>
        </w:rPr>
      </w:pPr>
      <w:r w:rsidRPr="005119CA">
        <w:rPr>
          <w:rFonts w:ascii="Times New Roman" w:hAnsi="Times New Roman" w:cs="Times New Roman"/>
          <w:sz w:val="24"/>
          <w:szCs w:val="24"/>
          <w:lang w:val="en-US"/>
        </w:rPr>
        <w:br w:type="page"/>
      </w:r>
    </w:p>
    <w:p w:rsidR="00CA7788" w:rsidRPr="005119CA" w:rsidRDefault="00CA7788" w:rsidP="00CA7788">
      <w:pPr>
        <w:tabs>
          <w:tab w:val="left" w:pos="360"/>
        </w:tabs>
        <w:rPr>
          <w:rFonts w:ascii="Times New Roman" w:hAnsi="Times New Roman" w:cs="Times New Roman"/>
          <w:sz w:val="24"/>
          <w:szCs w:val="24"/>
          <w:lang w:val="en-US"/>
        </w:rPr>
      </w:pPr>
      <w:r w:rsidRPr="00FF0414">
        <w:rPr>
          <w:rFonts w:ascii="Times New Roman" w:hAnsi="Times New Roman" w:cs="Times New Roman"/>
          <w:b/>
          <w:sz w:val="24"/>
          <w:szCs w:val="24"/>
          <w:lang w:val="en-US"/>
        </w:rPr>
        <w:lastRenderedPageBreak/>
        <w:t>Supplementary Table 4</w:t>
      </w:r>
      <w:r>
        <w:rPr>
          <w:rFonts w:ascii="Times New Roman" w:hAnsi="Times New Roman" w:cs="Times New Roman"/>
          <w:sz w:val="24"/>
          <w:szCs w:val="24"/>
          <w:lang w:val="en-US"/>
        </w:rPr>
        <w:t xml:space="preserve"> </w:t>
      </w:r>
      <w:r w:rsidRPr="005119CA">
        <w:rPr>
          <w:rFonts w:ascii="Times New Roman" w:hAnsi="Times New Roman" w:cs="Times New Roman"/>
          <w:sz w:val="24"/>
          <w:szCs w:val="24"/>
          <w:lang w:val="en-US"/>
        </w:rPr>
        <w:t>present buffer quality control (QC) data from the study analysis of free Aβ</w:t>
      </w:r>
      <w:r w:rsidRPr="00C2366B">
        <w:rPr>
          <w:rFonts w:ascii="Times New Roman" w:hAnsi="Times New Roman" w:cs="Times New Roman"/>
          <w:sz w:val="24"/>
          <w:szCs w:val="24"/>
          <w:vertAlign w:val="subscript"/>
          <w:lang w:val="en-US"/>
        </w:rPr>
        <w:t>42</w:t>
      </w:r>
      <w:r w:rsidRPr="005119CA">
        <w:rPr>
          <w:rFonts w:ascii="Times New Roman" w:hAnsi="Times New Roman" w:cs="Times New Roman"/>
          <w:sz w:val="24"/>
          <w:szCs w:val="24"/>
          <w:lang w:val="en-US"/>
        </w:rPr>
        <w:t xml:space="preserve"> in NHP using the drug tolerant assays. The QC samples were analyzed at both ends of the ELISA plates and demonstrate absence of drift (&lt; 10% deviation at the end of the plate).</w:t>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r w:rsidRPr="005119CA">
        <w:rPr>
          <w:rFonts w:ascii="Times New Roman" w:hAnsi="Times New Roman" w:cs="Times New Roman"/>
          <w:noProof/>
          <w:sz w:val="24"/>
          <w:szCs w:val="24"/>
          <w:lang w:val="en-US"/>
        </w:rPr>
        <w:drawing>
          <wp:inline distT="0" distB="0" distL="0" distR="0" wp14:anchorId="75F59196" wp14:editId="68DF2C0A">
            <wp:extent cx="5760720" cy="1778225"/>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60720" cy="1778225"/>
                    </a:xfrm>
                    <a:prstGeom prst="rect">
                      <a:avLst/>
                    </a:prstGeom>
                    <a:noFill/>
                    <a:ln w="9525">
                      <a:noFill/>
                      <a:miter lim="800000"/>
                      <a:headEnd/>
                      <a:tailEnd/>
                    </a:ln>
                  </pic:spPr>
                </pic:pic>
              </a:graphicData>
            </a:graphic>
          </wp:inline>
        </w:drawing>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keepNext w:val="0"/>
        <w:tabs>
          <w:tab w:val="left" w:pos="360"/>
        </w:tabs>
        <w:rPr>
          <w:rFonts w:ascii="Times New Roman" w:hAnsi="Times New Roman" w:cs="Times New Roman"/>
          <w:sz w:val="24"/>
          <w:szCs w:val="24"/>
          <w:lang w:val="en-US"/>
        </w:rPr>
      </w:pPr>
      <w:r w:rsidRPr="005119CA">
        <w:rPr>
          <w:rFonts w:ascii="Times New Roman" w:hAnsi="Times New Roman" w:cs="Times New Roman"/>
          <w:sz w:val="24"/>
          <w:szCs w:val="24"/>
          <w:lang w:val="en-US"/>
        </w:rPr>
        <w:br w:type="page"/>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r w:rsidRPr="00FF0414">
        <w:rPr>
          <w:rFonts w:ascii="Times New Roman" w:hAnsi="Times New Roman" w:cs="Times New Roman"/>
          <w:b/>
          <w:sz w:val="24"/>
          <w:szCs w:val="24"/>
          <w:lang w:val="en-US"/>
        </w:rPr>
        <w:t>Supplementary Table 5</w:t>
      </w:r>
      <w:r w:rsidRPr="005119CA">
        <w:rPr>
          <w:rFonts w:ascii="Times New Roman" w:hAnsi="Times New Roman" w:cs="Times New Roman"/>
          <w:sz w:val="24"/>
          <w:szCs w:val="24"/>
          <w:lang w:val="en-US"/>
        </w:rPr>
        <w:t xml:space="preserve"> presents buffer quality control (QC) data from the study analysis of total CSF Aβ</w:t>
      </w:r>
      <w:r w:rsidRPr="00C2366B">
        <w:rPr>
          <w:rFonts w:ascii="Times New Roman" w:hAnsi="Times New Roman" w:cs="Times New Roman"/>
          <w:sz w:val="24"/>
          <w:szCs w:val="24"/>
          <w:vertAlign w:val="subscript"/>
          <w:lang w:val="en-US"/>
        </w:rPr>
        <w:t>42</w:t>
      </w:r>
      <w:r w:rsidRPr="005119CA">
        <w:rPr>
          <w:rFonts w:ascii="Times New Roman" w:hAnsi="Times New Roman" w:cs="Times New Roman"/>
          <w:sz w:val="24"/>
          <w:szCs w:val="24"/>
          <w:lang w:val="en-US"/>
        </w:rPr>
        <w:t xml:space="preserve"> in NHP using the drug tolerant assays. The samples were analyzed at either end of the ELISA plates and demonstrate absence of drift (&lt; 10% deviation at the end of the plate) over the plates.</w:t>
      </w:r>
    </w:p>
    <w:p w:rsidR="00CA7788" w:rsidRPr="005119CA" w:rsidRDefault="00CA7788" w:rsidP="00CA7788">
      <w:pPr>
        <w:tabs>
          <w:tab w:val="left" w:pos="360"/>
        </w:tabs>
        <w:rPr>
          <w:rFonts w:ascii="Times New Roman" w:hAnsi="Times New Roman" w:cs="Times New Roman"/>
          <w:sz w:val="24"/>
          <w:szCs w:val="24"/>
          <w:lang w:val="en-US"/>
        </w:rPr>
      </w:pPr>
      <w:r w:rsidRPr="005119CA">
        <w:rPr>
          <w:rFonts w:ascii="Times New Roman" w:hAnsi="Times New Roman" w:cs="Times New Roman"/>
          <w:noProof/>
          <w:sz w:val="24"/>
          <w:szCs w:val="24"/>
          <w:lang w:val="en-US"/>
        </w:rPr>
        <w:drawing>
          <wp:inline distT="0" distB="0" distL="0" distR="0" wp14:anchorId="54A961E9" wp14:editId="011DFF2A">
            <wp:extent cx="5760720" cy="1766930"/>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60720" cy="1766930"/>
                    </a:xfrm>
                    <a:prstGeom prst="rect">
                      <a:avLst/>
                    </a:prstGeom>
                    <a:noFill/>
                    <a:ln w="9525">
                      <a:noFill/>
                      <a:miter lim="800000"/>
                      <a:headEnd/>
                      <a:tailEnd/>
                    </a:ln>
                  </pic:spPr>
                </pic:pic>
              </a:graphicData>
            </a:graphic>
          </wp:inline>
        </w:drawing>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keepNext w:val="0"/>
        <w:tabs>
          <w:tab w:val="left" w:pos="360"/>
        </w:tabs>
        <w:rPr>
          <w:rFonts w:ascii="Times New Roman" w:hAnsi="Times New Roman" w:cs="Times New Roman"/>
          <w:sz w:val="24"/>
          <w:szCs w:val="24"/>
          <w:lang w:val="en-US"/>
        </w:rPr>
      </w:pPr>
      <w:r w:rsidRPr="005119CA">
        <w:rPr>
          <w:rFonts w:ascii="Times New Roman" w:hAnsi="Times New Roman" w:cs="Times New Roman"/>
          <w:sz w:val="24"/>
          <w:szCs w:val="24"/>
          <w:lang w:val="en-US"/>
        </w:rPr>
        <w:br w:type="page"/>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r w:rsidRPr="00FF0414">
        <w:rPr>
          <w:rFonts w:ascii="Times New Roman" w:hAnsi="Times New Roman" w:cs="Times New Roman"/>
          <w:b/>
          <w:sz w:val="24"/>
          <w:szCs w:val="24"/>
          <w:lang w:val="en-US"/>
        </w:rPr>
        <w:t>Supplementary Table 6</w:t>
      </w:r>
      <w:r w:rsidRPr="005119CA">
        <w:rPr>
          <w:rFonts w:ascii="Times New Roman" w:hAnsi="Times New Roman" w:cs="Times New Roman"/>
          <w:sz w:val="24"/>
          <w:szCs w:val="24"/>
          <w:lang w:val="en-US"/>
        </w:rPr>
        <w:t xml:space="preserve"> present buffer quality control (QC) data from the study analysis of Aβ40 in NHP using the drug tolerant assays. The samples were analyzed at either end one of the ELISA plates and demonstrate absence of drift (&lt; 10% deviation at the end of the plate) over the plates.</w:t>
      </w:r>
    </w:p>
    <w:p w:rsidR="00CA7788" w:rsidRPr="005119CA" w:rsidRDefault="00CA7788" w:rsidP="00CA7788">
      <w:pPr>
        <w:tabs>
          <w:tab w:val="left" w:pos="360"/>
        </w:tabs>
        <w:rPr>
          <w:rFonts w:ascii="Times New Roman" w:hAnsi="Times New Roman" w:cs="Times New Roman"/>
          <w:sz w:val="24"/>
          <w:szCs w:val="24"/>
          <w:lang w:val="en-US"/>
        </w:rPr>
      </w:pPr>
      <w:r w:rsidRPr="005119CA">
        <w:rPr>
          <w:rFonts w:ascii="Times New Roman" w:hAnsi="Times New Roman" w:cs="Times New Roman"/>
          <w:noProof/>
          <w:sz w:val="24"/>
          <w:szCs w:val="24"/>
          <w:lang w:val="en-US"/>
        </w:rPr>
        <w:drawing>
          <wp:inline distT="0" distB="0" distL="0" distR="0" wp14:anchorId="76D2A7BA" wp14:editId="0A7970A1">
            <wp:extent cx="5760720" cy="1450063"/>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760720" cy="1450063"/>
                    </a:xfrm>
                    <a:prstGeom prst="rect">
                      <a:avLst/>
                    </a:prstGeom>
                    <a:noFill/>
                    <a:ln w="9525">
                      <a:noFill/>
                      <a:miter lim="800000"/>
                      <a:headEnd/>
                      <a:tailEnd/>
                    </a:ln>
                  </pic:spPr>
                </pic:pic>
              </a:graphicData>
            </a:graphic>
          </wp:inline>
        </w:drawing>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keepNext w:val="0"/>
        <w:tabs>
          <w:tab w:val="left" w:pos="360"/>
        </w:tabs>
        <w:rPr>
          <w:rFonts w:ascii="Times New Roman" w:hAnsi="Times New Roman" w:cs="Times New Roman"/>
          <w:sz w:val="24"/>
          <w:szCs w:val="24"/>
          <w:lang w:val="en-US"/>
        </w:rPr>
      </w:pPr>
      <w:r w:rsidRPr="005119CA">
        <w:rPr>
          <w:rFonts w:ascii="Times New Roman" w:hAnsi="Times New Roman" w:cs="Times New Roman"/>
          <w:sz w:val="24"/>
          <w:szCs w:val="24"/>
          <w:lang w:val="en-US"/>
        </w:rPr>
        <w:br w:type="page"/>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r w:rsidRPr="00FF0414">
        <w:rPr>
          <w:rFonts w:ascii="Times New Roman" w:hAnsi="Times New Roman" w:cs="Times New Roman"/>
          <w:b/>
          <w:sz w:val="24"/>
          <w:szCs w:val="24"/>
          <w:lang w:val="en-US"/>
        </w:rPr>
        <w:t xml:space="preserve">Supplementary Table 7 </w:t>
      </w:r>
      <w:r w:rsidRPr="005119CA">
        <w:rPr>
          <w:rFonts w:ascii="Times New Roman" w:hAnsi="Times New Roman" w:cs="Times New Roman"/>
          <w:sz w:val="24"/>
          <w:szCs w:val="24"/>
          <w:lang w:val="en-US"/>
        </w:rPr>
        <w:t>presents buffer quality control (QC) data from the study analysis of total plasma Aβ</w:t>
      </w:r>
      <w:r w:rsidRPr="00C2366B">
        <w:rPr>
          <w:rFonts w:ascii="Times New Roman" w:hAnsi="Times New Roman" w:cs="Times New Roman"/>
          <w:sz w:val="24"/>
          <w:szCs w:val="24"/>
          <w:vertAlign w:val="subscript"/>
          <w:lang w:val="en-US"/>
        </w:rPr>
        <w:t>42</w:t>
      </w:r>
      <w:r w:rsidRPr="005119CA">
        <w:rPr>
          <w:rFonts w:ascii="Times New Roman" w:hAnsi="Times New Roman" w:cs="Times New Roman"/>
          <w:sz w:val="24"/>
          <w:szCs w:val="24"/>
          <w:lang w:val="en-US"/>
        </w:rPr>
        <w:t xml:space="preserve"> in NHP using the drug tolerant assays. The samples analyzed at 19 different ELISA plates demonstrating a good between plate precision (CV ≤10%).</w:t>
      </w:r>
    </w:p>
    <w:p w:rsidR="00CA7788" w:rsidRPr="005119CA" w:rsidRDefault="00CA7788" w:rsidP="00CA7788">
      <w:pPr>
        <w:tabs>
          <w:tab w:val="left" w:pos="360"/>
        </w:tabs>
        <w:rPr>
          <w:rFonts w:ascii="Times New Roman" w:hAnsi="Times New Roman" w:cs="Times New Roman"/>
          <w:sz w:val="24"/>
          <w:szCs w:val="24"/>
          <w:lang w:val="en-US"/>
        </w:rPr>
      </w:pPr>
    </w:p>
    <w:p w:rsidR="00CA7788" w:rsidRPr="005119CA" w:rsidRDefault="00CA7788" w:rsidP="00CA7788">
      <w:pPr>
        <w:tabs>
          <w:tab w:val="left" w:pos="360"/>
        </w:tabs>
        <w:rPr>
          <w:rFonts w:ascii="Times New Roman" w:hAnsi="Times New Roman" w:cs="Times New Roman"/>
          <w:sz w:val="24"/>
          <w:szCs w:val="24"/>
          <w:lang w:val="en-US"/>
        </w:rPr>
      </w:pPr>
      <w:r w:rsidRPr="005119CA">
        <w:rPr>
          <w:rFonts w:ascii="Times New Roman" w:hAnsi="Times New Roman" w:cs="Times New Roman"/>
          <w:noProof/>
          <w:sz w:val="24"/>
          <w:szCs w:val="24"/>
          <w:lang w:val="en-US"/>
        </w:rPr>
        <w:drawing>
          <wp:inline distT="0" distB="0" distL="0" distR="0" wp14:anchorId="6FE27846" wp14:editId="5E2D0093">
            <wp:extent cx="5760720" cy="5026228"/>
            <wp:effectExtent l="19050" t="0" r="0"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760720" cy="5026228"/>
                    </a:xfrm>
                    <a:prstGeom prst="rect">
                      <a:avLst/>
                    </a:prstGeom>
                    <a:noFill/>
                    <a:ln w="9525">
                      <a:noFill/>
                      <a:miter lim="800000"/>
                      <a:headEnd/>
                      <a:tailEnd/>
                    </a:ln>
                  </pic:spPr>
                </pic:pic>
              </a:graphicData>
            </a:graphic>
          </wp:inline>
        </w:drawing>
      </w:r>
    </w:p>
    <w:p w:rsidR="00CA7788" w:rsidRPr="005119CA" w:rsidRDefault="00CA7788" w:rsidP="00CA7788">
      <w:pPr>
        <w:tabs>
          <w:tab w:val="left" w:pos="360"/>
        </w:tabs>
        <w:rPr>
          <w:rFonts w:ascii="Times New Roman" w:hAnsi="Times New Roman" w:cs="Times New Roman"/>
          <w:sz w:val="24"/>
          <w:szCs w:val="24"/>
          <w:lang w:val="en-US"/>
        </w:rPr>
      </w:pPr>
    </w:p>
    <w:p w:rsidR="007D22DA" w:rsidRDefault="007D22DA"/>
    <w:sectPr w:rsidR="007D22DA" w:rsidSect="00CA7788">
      <w:footerReference w:type="default" r:id="rId12"/>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8219"/>
      <w:docPartObj>
        <w:docPartGallery w:val="Page Numbers (Bottom of Page)"/>
        <w:docPartUnique/>
      </w:docPartObj>
    </w:sdtPr>
    <w:sdtEndPr/>
    <w:sdtContent>
      <w:p w:rsidR="00C2366B" w:rsidRDefault="00CA7788">
        <w:pPr>
          <w:pStyle w:val="Footer"/>
          <w:jc w:val="center"/>
        </w:pPr>
        <w:r>
          <w:fldChar w:fldCharType="begin"/>
        </w:r>
        <w:r>
          <w:instrText>PAGE   \* MERGEFORMAT</w:instrText>
        </w:r>
        <w:r>
          <w:fldChar w:fldCharType="separate"/>
        </w:r>
        <w:r>
          <w:rPr>
            <w:noProof/>
          </w:rPr>
          <w:t>1</w:t>
        </w:r>
        <w:r>
          <w:rPr>
            <w:noProof/>
          </w:rPr>
          <w:fldChar w:fldCharType="end"/>
        </w:r>
      </w:p>
    </w:sdtContent>
  </w:sdt>
  <w:p w:rsidR="00C2366B" w:rsidRDefault="00CA778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88"/>
    <w:rsid w:val="0064377F"/>
    <w:rsid w:val="007D22DA"/>
    <w:rsid w:val="00884780"/>
    <w:rsid w:val="00893279"/>
    <w:rsid w:val="008D0F39"/>
    <w:rsid w:val="00CA7788"/>
    <w:rsid w:val="00CB13BE"/>
    <w:rsid w:val="00F6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88"/>
    <w:pPr>
      <w:keepNext/>
    </w:pPr>
    <w:rPr>
      <w:rFonts w:ascii="Arial" w:eastAsiaTheme="minorHAnsi" w:hAnsi="Arial" w:cstheme="minorBidi"/>
      <w:sz w:val="22"/>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7788"/>
    <w:pPr>
      <w:tabs>
        <w:tab w:val="center" w:pos="4536"/>
        <w:tab w:val="right" w:pos="9072"/>
      </w:tabs>
    </w:pPr>
  </w:style>
  <w:style w:type="character" w:customStyle="1" w:styleId="FooterChar">
    <w:name w:val="Footer Char"/>
    <w:basedOn w:val="DefaultParagraphFont"/>
    <w:link w:val="Footer"/>
    <w:uiPriority w:val="99"/>
    <w:rsid w:val="00CA7788"/>
    <w:rPr>
      <w:rFonts w:ascii="Arial" w:eastAsiaTheme="minorHAnsi" w:hAnsi="Arial" w:cstheme="minorBidi"/>
      <w:sz w:val="22"/>
      <w:szCs w:val="22"/>
      <w:lang w:val="sv-SE"/>
    </w:rPr>
  </w:style>
  <w:style w:type="paragraph" w:styleId="BalloonText">
    <w:name w:val="Balloon Text"/>
    <w:basedOn w:val="Normal"/>
    <w:link w:val="BalloonTextChar"/>
    <w:uiPriority w:val="99"/>
    <w:semiHidden/>
    <w:unhideWhenUsed/>
    <w:rsid w:val="00CA7788"/>
    <w:rPr>
      <w:rFonts w:ascii="Tahoma" w:hAnsi="Tahoma" w:cs="Tahoma"/>
      <w:sz w:val="16"/>
      <w:szCs w:val="16"/>
    </w:rPr>
  </w:style>
  <w:style w:type="character" w:customStyle="1" w:styleId="BalloonTextChar">
    <w:name w:val="Balloon Text Char"/>
    <w:basedOn w:val="DefaultParagraphFont"/>
    <w:link w:val="BalloonText"/>
    <w:uiPriority w:val="99"/>
    <w:semiHidden/>
    <w:rsid w:val="00CA7788"/>
    <w:rPr>
      <w:rFonts w:ascii="Tahoma" w:eastAsiaTheme="minorHAnsi" w:hAnsi="Tahoma" w:cs="Tahoma"/>
      <w:sz w:val="16"/>
      <w:szCs w:val="16"/>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788"/>
    <w:pPr>
      <w:keepNext/>
    </w:pPr>
    <w:rPr>
      <w:rFonts w:ascii="Arial" w:eastAsiaTheme="minorHAnsi" w:hAnsi="Arial" w:cstheme="minorBidi"/>
      <w:sz w:val="22"/>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7788"/>
    <w:pPr>
      <w:tabs>
        <w:tab w:val="center" w:pos="4536"/>
        <w:tab w:val="right" w:pos="9072"/>
      </w:tabs>
    </w:pPr>
  </w:style>
  <w:style w:type="character" w:customStyle="1" w:styleId="FooterChar">
    <w:name w:val="Footer Char"/>
    <w:basedOn w:val="DefaultParagraphFont"/>
    <w:link w:val="Footer"/>
    <w:uiPriority w:val="99"/>
    <w:rsid w:val="00CA7788"/>
    <w:rPr>
      <w:rFonts w:ascii="Arial" w:eastAsiaTheme="minorHAnsi" w:hAnsi="Arial" w:cstheme="minorBidi"/>
      <w:sz w:val="22"/>
      <w:szCs w:val="22"/>
      <w:lang w:val="sv-SE"/>
    </w:rPr>
  </w:style>
  <w:style w:type="paragraph" w:styleId="BalloonText">
    <w:name w:val="Balloon Text"/>
    <w:basedOn w:val="Normal"/>
    <w:link w:val="BalloonTextChar"/>
    <w:uiPriority w:val="99"/>
    <w:semiHidden/>
    <w:unhideWhenUsed/>
    <w:rsid w:val="00CA7788"/>
    <w:rPr>
      <w:rFonts w:ascii="Tahoma" w:hAnsi="Tahoma" w:cs="Tahoma"/>
      <w:sz w:val="16"/>
      <w:szCs w:val="16"/>
    </w:rPr>
  </w:style>
  <w:style w:type="character" w:customStyle="1" w:styleId="BalloonTextChar">
    <w:name w:val="Balloon Text Char"/>
    <w:basedOn w:val="DefaultParagraphFont"/>
    <w:link w:val="BalloonText"/>
    <w:uiPriority w:val="99"/>
    <w:semiHidden/>
    <w:rsid w:val="00CA7788"/>
    <w:rPr>
      <w:rFonts w:ascii="Tahoma" w:eastAsiaTheme="minorHAnsi"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2015-06-26T12:24:00Z</dcterms:created>
  <dcterms:modified xsi:type="dcterms:W3CDTF">2015-06-26T12:24:00Z</dcterms:modified>
</cp:coreProperties>
</file>